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E30" w:rsidRDefault="00324E30">
      <w:pPr>
        <w:spacing w:before="10" w:after="0" w:line="150" w:lineRule="exact"/>
        <w:rPr>
          <w:sz w:val="15"/>
          <w:szCs w:val="15"/>
        </w:rPr>
      </w:pPr>
    </w:p>
    <w:p w:rsidR="00324E30" w:rsidRDefault="00324E30">
      <w:pPr>
        <w:spacing w:after="0" w:line="200" w:lineRule="exact"/>
        <w:rPr>
          <w:sz w:val="20"/>
          <w:szCs w:val="20"/>
        </w:rPr>
      </w:pPr>
    </w:p>
    <w:p w:rsidR="00324E30" w:rsidRDefault="00324E30">
      <w:pPr>
        <w:spacing w:after="0" w:line="200" w:lineRule="exact"/>
        <w:rPr>
          <w:sz w:val="20"/>
          <w:szCs w:val="20"/>
        </w:rPr>
      </w:pPr>
    </w:p>
    <w:p w:rsidR="00324E30" w:rsidRDefault="00324E30">
      <w:pPr>
        <w:spacing w:after="0" w:line="200" w:lineRule="exact"/>
        <w:rPr>
          <w:sz w:val="20"/>
          <w:szCs w:val="20"/>
        </w:rPr>
      </w:pPr>
    </w:p>
    <w:p w:rsidR="00324E30" w:rsidRDefault="00324E30">
      <w:pPr>
        <w:spacing w:after="0" w:line="200" w:lineRule="exact"/>
        <w:rPr>
          <w:sz w:val="20"/>
          <w:szCs w:val="20"/>
        </w:rPr>
      </w:pPr>
    </w:p>
    <w:tbl>
      <w:tblPr>
        <w:tblW w:w="0" w:type="auto"/>
        <w:tblInd w:w="95" w:type="dxa"/>
        <w:tblLayout w:type="fixed"/>
        <w:tblCellMar>
          <w:left w:w="0" w:type="dxa"/>
          <w:right w:w="0" w:type="dxa"/>
        </w:tblCellMar>
        <w:tblLook w:val="01E0"/>
      </w:tblPr>
      <w:tblGrid>
        <w:gridCol w:w="1310"/>
        <w:gridCol w:w="1133"/>
        <w:gridCol w:w="816"/>
        <w:gridCol w:w="701"/>
        <w:gridCol w:w="633"/>
        <w:gridCol w:w="2405"/>
        <w:gridCol w:w="638"/>
        <w:gridCol w:w="1230"/>
      </w:tblGrid>
      <w:tr w:rsidR="00324E30" w:rsidRPr="001C6D6E">
        <w:trPr>
          <w:trHeight w:hRule="exact" w:val="254"/>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32" w:lineRule="exact"/>
              <w:ind w:left="100" w:right="-20"/>
              <w:rPr>
                <w:rFonts w:ascii="Times New Roman" w:eastAsia="Times New Roman" w:hAnsi="Times New Roman" w:cs="Times New Roman"/>
                <w:sz w:val="21"/>
                <w:szCs w:val="21"/>
              </w:rPr>
            </w:pPr>
            <w:r w:rsidRPr="001C6D6E">
              <w:rPr>
                <w:rFonts w:ascii="Times New Roman" w:hAnsi="Times New Roman" w:cs="Times New Roman"/>
                <w:b/>
                <w:sz w:val="21"/>
                <w:szCs w:val="21"/>
              </w:rPr>
              <w:t xml:space="preserve">Studying program/programs: </w:t>
            </w:r>
            <w:r w:rsidRPr="001C6D6E">
              <w:rPr>
                <w:rFonts w:ascii="Times New Roman" w:hAnsi="Times New Roman" w:cs="Times New Roman"/>
                <w:sz w:val="21"/>
                <w:szCs w:val="21"/>
              </w:rPr>
              <w:t>Banking and Finance</w:t>
            </w:r>
          </w:p>
        </w:tc>
      </w:tr>
      <w:tr w:rsidR="00324E30" w:rsidRPr="001C6D6E">
        <w:trPr>
          <w:trHeight w:hRule="exact" w:val="259"/>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36" w:lineRule="exact"/>
              <w:ind w:left="100" w:right="-20"/>
              <w:rPr>
                <w:rFonts w:ascii="Times New Roman" w:eastAsia="Times New Roman" w:hAnsi="Times New Roman" w:cs="Times New Roman"/>
                <w:sz w:val="21"/>
                <w:szCs w:val="21"/>
              </w:rPr>
            </w:pPr>
            <w:r w:rsidRPr="001C6D6E">
              <w:rPr>
                <w:rFonts w:ascii="Times New Roman" w:hAnsi="Times New Roman" w:cs="Times New Roman"/>
                <w:b/>
                <w:sz w:val="21"/>
                <w:szCs w:val="21"/>
              </w:rPr>
              <w:t xml:space="preserve">Type and level of studies: </w:t>
            </w:r>
            <w:r w:rsidR="005114ED">
              <w:rPr>
                <w:rFonts w:ascii="Times New Roman" w:hAnsi="Times New Roman" w:cs="Times New Roman"/>
                <w:sz w:val="21"/>
                <w:szCs w:val="21"/>
              </w:rPr>
              <w:t>G</w:t>
            </w:r>
            <w:r w:rsidRPr="001C6D6E">
              <w:rPr>
                <w:rFonts w:ascii="Times New Roman" w:hAnsi="Times New Roman" w:cs="Times New Roman"/>
                <w:sz w:val="21"/>
                <w:szCs w:val="21"/>
              </w:rPr>
              <w:t>raduate academic, joint program</w:t>
            </w:r>
          </w:p>
        </w:tc>
      </w:tr>
      <w:tr w:rsidR="00324E30" w:rsidRPr="001C6D6E">
        <w:trPr>
          <w:trHeight w:hRule="exact" w:val="499"/>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rsidP="005114ED">
            <w:pPr>
              <w:spacing w:after="0" w:line="236" w:lineRule="exact"/>
              <w:ind w:left="100" w:right="-20"/>
              <w:rPr>
                <w:rFonts w:ascii="Times New Roman" w:eastAsia="Times New Roman" w:hAnsi="Times New Roman" w:cs="Times New Roman"/>
                <w:sz w:val="21"/>
                <w:szCs w:val="21"/>
              </w:rPr>
            </w:pPr>
            <w:r w:rsidRPr="001C6D6E">
              <w:rPr>
                <w:rFonts w:ascii="Times New Roman" w:hAnsi="Times New Roman" w:cs="Times New Roman"/>
                <w:b/>
                <w:sz w:val="21"/>
                <w:szCs w:val="21"/>
              </w:rPr>
              <w:t xml:space="preserve">Course title: </w:t>
            </w:r>
            <w:r w:rsidRPr="001C6D6E">
              <w:rPr>
                <w:rFonts w:ascii="Times New Roman" w:hAnsi="Times New Roman" w:cs="Times New Roman"/>
                <w:sz w:val="21"/>
                <w:szCs w:val="21"/>
              </w:rPr>
              <w:t xml:space="preserve">Determinants and Modalities of Foreign Direct Investment </w:t>
            </w:r>
          </w:p>
        </w:tc>
      </w:tr>
      <w:tr w:rsidR="00324E30" w:rsidRPr="001C6D6E">
        <w:trPr>
          <w:trHeight w:hRule="exact" w:val="504"/>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36" w:lineRule="exact"/>
              <w:ind w:left="100" w:right="-20"/>
              <w:rPr>
                <w:rFonts w:ascii="Times New Roman" w:eastAsia="Times New Roman" w:hAnsi="Times New Roman" w:cs="Times New Roman"/>
                <w:sz w:val="21"/>
                <w:szCs w:val="21"/>
              </w:rPr>
            </w:pPr>
            <w:r w:rsidRPr="005114ED">
              <w:rPr>
                <w:rFonts w:ascii="Times New Roman" w:hAnsi="Times New Roman" w:cs="Times New Roman"/>
                <w:b/>
                <w:sz w:val="21"/>
                <w:szCs w:val="21"/>
              </w:rPr>
              <w:t>Lecturer</w:t>
            </w:r>
            <w:r w:rsidRPr="001C6D6E">
              <w:rPr>
                <w:rFonts w:ascii="Times New Roman" w:hAnsi="Times New Roman" w:cs="Times New Roman"/>
                <w:sz w:val="21"/>
                <w:szCs w:val="21"/>
              </w:rPr>
              <w:t xml:space="preserve"> (Last name, middle initial, first name) </w:t>
            </w:r>
            <w:r w:rsidRPr="001C6D6E">
              <w:rPr>
                <w:rFonts w:ascii="Times New Roman" w:hAnsi="Times New Roman" w:cs="Times New Roman"/>
                <w:b/>
                <w:color w:val="000000"/>
                <w:sz w:val="21"/>
                <w:szCs w:val="21"/>
              </w:rPr>
              <w:t>(</w:t>
            </w:r>
            <w:r w:rsidRPr="001C6D6E">
              <w:rPr>
                <w:rFonts w:ascii="Times New Roman" w:hAnsi="Times New Roman" w:cs="Times New Roman"/>
                <w:color w:val="000000"/>
                <w:sz w:val="21"/>
                <w:szCs w:val="21"/>
              </w:rPr>
              <w:t>Stephanou G.</w:t>
            </w:r>
            <w:r w:rsidRPr="001C6D6E">
              <w:rPr>
                <w:rFonts w:ascii="Times New Roman" w:hAnsi="Times New Roman" w:cs="Times New Roman"/>
                <w:color w:val="0000FF"/>
                <w:sz w:val="21"/>
                <w:szCs w:val="21"/>
                <w:u w:val="single" w:color="0000FF"/>
              </w:rPr>
              <w:t xml:space="preserve"> </w:t>
            </w:r>
            <w:r w:rsidRPr="001C6D6E">
              <w:rPr>
                <w:rFonts w:ascii="Times New Roman" w:hAnsi="Times New Roman" w:cs="Times New Roman"/>
                <w:sz w:val="21"/>
                <w:szCs w:val="21"/>
              </w:rPr>
              <w:t>Constantin)</w:t>
            </w:r>
            <w:r w:rsidRPr="001C6D6E">
              <w:rPr>
                <w:rFonts w:ascii="Times New Roman" w:hAnsi="Times New Roman" w:cs="Times New Roman"/>
                <w:color w:val="000000"/>
                <w:sz w:val="21"/>
                <w:szCs w:val="21"/>
              </w:rPr>
              <w:t xml:space="preserve"> -</w:t>
            </w:r>
          </w:p>
          <w:p w:rsidR="00324E30" w:rsidRPr="001C6D6E" w:rsidRDefault="00BD1D34">
            <w:pPr>
              <w:spacing w:before="3" w:after="0" w:line="240" w:lineRule="auto"/>
              <w:ind w:left="100" w:right="-20"/>
              <w:rPr>
                <w:rFonts w:ascii="Times New Roman" w:eastAsia="Times New Roman" w:hAnsi="Times New Roman" w:cs="Times New Roman"/>
                <w:sz w:val="21"/>
                <w:szCs w:val="21"/>
              </w:rPr>
            </w:pPr>
            <w:r w:rsidRPr="001C6D6E">
              <w:rPr>
                <w:rFonts w:ascii="Times New Roman" w:hAnsi="Times New Roman" w:cs="Times New Roman"/>
                <w:color w:val="0000FF"/>
                <w:spacing w:val="21"/>
                <w:sz w:val="21"/>
                <w:szCs w:val="21"/>
              </w:rPr>
              <w:t xml:space="preserve"> </w:t>
            </w:r>
            <w:r w:rsidRPr="001C6D6E">
              <w:rPr>
                <w:rFonts w:ascii="Times New Roman" w:hAnsi="Times New Roman" w:cs="Times New Roman"/>
                <w:color w:val="000000"/>
                <w:sz w:val="21"/>
                <w:szCs w:val="21"/>
              </w:rPr>
              <w:t>(Hazakis G.</w:t>
            </w:r>
            <w:r w:rsidRPr="001C6D6E">
              <w:rPr>
                <w:rFonts w:ascii="Times New Roman" w:hAnsi="Times New Roman" w:cs="Times New Roman"/>
                <w:color w:val="0000FF"/>
                <w:sz w:val="21"/>
                <w:szCs w:val="21"/>
                <w:u w:val="single" w:color="0000FF"/>
              </w:rPr>
              <w:t xml:space="preserve"> </w:t>
            </w:r>
            <w:r w:rsidRPr="001C6D6E">
              <w:rPr>
                <w:rFonts w:ascii="Times New Roman" w:hAnsi="Times New Roman" w:cs="Times New Roman"/>
                <w:sz w:val="21"/>
                <w:szCs w:val="21"/>
              </w:rPr>
              <w:t>Constantin)</w:t>
            </w:r>
            <w:r w:rsidRPr="001C6D6E">
              <w:rPr>
                <w:rFonts w:ascii="Times New Roman" w:hAnsi="Times New Roman" w:cs="Times New Roman"/>
                <w:color w:val="000000"/>
                <w:sz w:val="21"/>
                <w:szCs w:val="21"/>
              </w:rPr>
              <w:t xml:space="preserve"> _</w:t>
            </w:r>
          </w:p>
        </w:tc>
      </w:tr>
      <w:tr w:rsidR="00324E30" w:rsidRPr="001C6D6E">
        <w:trPr>
          <w:trHeight w:hRule="exact" w:val="252"/>
        </w:trPr>
        <w:tc>
          <w:tcPr>
            <w:tcW w:w="8866" w:type="dxa"/>
            <w:gridSpan w:val="8"/>
            <w:tcBorders>
              <w:top w:val="single" w:sz="4" w:space="0" w:color="000000"/>
              <w:left w:val="single" w:sz="4" w:space="0" w:color="000000"/>
              <w:bottom w:val="single" w:sz="2" w:space="0" w:color="000000"/>
              <w:right w:val="single" w:sz="4" w:space="0" w:color="000000"/>
            </w:tcBorders>
          </w:tcPr>
          <w:p w:rsidR="00324E30" w:rsidRPr="001C6D6E" w:rsidRDefault="00BD1D34">
            <w:pPr>
              <w:spacing w:after="0" w:line="236" w:lineRule="exact"/>
              <w:ind w:left="100" w:right="-20"/>
              <w:rPr>
                <w:rFonts w:ascii="Times New Roman" w:eastAsia="Times New Roman" w:hAnsi="Times New Roman" w:cs="Times New Roman"/>
                <w:sz w:val="21"/>
                <w:szCs w:val="21"/>
              </w:rPr>
            </w:pPr>
            <w:r w:rsidRPr="001C6D6E">
              <w:rPr>
                <w:rFonts w:ascii="Times New Roman" w:hAnsi="Times New Roman" w:cs="Times New Roman"/>
                <w:b/>
                <w:sz w:val="21"/>
                <w:szCs w:val="21"/>
              </w:rPr>
              <w:t xml:space="preserve">Course status: </w:t>
            </w:r>
            <w:r w:rsidRPr="001C6D6E">
              <w:rPr>
                <w:rFonts w:ascii="Times New Roman" w:hAnsi="Times New Roman" w:cs="Times New Roman"/>
                <w:w w:val="102"/>
                <w:sz w:val="21"/>
                <w:szCs w:val="21"/>
              </w:rPr>
              <w:t>elective</w:t>
            </w:r>
          </w:p>
        </w:tc>
      </w:tr>
      <w:tr w:rsidR="00324E30" w:rsidRPr="001C6D6E">
        <w:trPr>
          <w:trHeight w:hRule="exact" w:val="257"/>
        </w:trPr>
        <w:tc>
          <w:tcPr>
            <w:tcW w:w="8866" w:type="dxa"/>
            <w:gridSpan w:val="8"/>
            <w:tcBorders>
              <w:top w:val="single" w:sz="2" w:space="0" w:color="000000"/>
              <w:left w:val="single" w:sz="4" w:space="0" w:color="000000"/>
              <w:bottom w:val="single" w:sz="4" w:space="0" w:color="000000"/>
              <w:right w:val="single" w:sz="4" w:space="0" w:color="000000"/>
            </w:tcBorders>
          </w:tcPr>
          <w:p w:rsidR="00324E30" w:rsidRPr="001C6D6E" w:rsidRDefault="00BD1D34">
            <w:pPr>
              <w:spacing w:after="0" w:line="236" w:lineRule="exact"/>
              <w:ind w:left="100" w:right="-20"/>
              <w:rPr>
                <w:rFonts w:ascii="Times New Roman" w:eastAsia="Times New Roman" w:hAnsi="Times New Roman" w:cs="Times New Roman"/>
                <w:sz w:val="21"/>
                <w:szCs w:val="21"/>
              </w:rPr>
            </w:pPr>
            <w:r w:rsidRPr="001C6D6E">
              <w:rPr>
                <w:rFonts w:ascii="Times New Roman" w:hAnsi="Times New Roman" w:cs="Times New Roman"/>
                <w:b/>
                <w:sz w:val="21"/>
                <w:szCs w:val="21"/>
              </w:rPr>
              <w:t xml:space="preserve">Numbers of ECTS: </w:t>
            </w:r>
            <w:r w:rsidRPr="001C6D6E">
              <w:rPr>
                <w:rFonts w:ascii="Times New Roman" w:hAnsi="Times New Roman" w:cs="Times New Roman"/>
                <w:w w:val="102"/>
                <w:sz w:val="21"/>
                <w:szCs w:val="21"/>
              </w:rPr>
              <w:t>6</w:t>
            </w:r>
          </w:p>
        </w:tc>
      </w:tr>
      <w:tr w:rsidR="00324E30" w:rsidRPr="001C6D6E">
        <w:trPr>
          <w:trHeight w:hRule="exact" w:val="480"/>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rsidP="001C6D6E">
            <w:pPr>
              <w:spacing w:after="0" w:line="241" w:lineRule="exact"/>
              <w:ind w:left="100" w:right="-20"/>
              <w:rPr>
                <w:rFonts w:ascii="Times New Roman" w:eastAsia="Times New Roman" w:hAnsi="Times New Roman" w:cs="Times New Roman"/>
                <w:sz w:val="21"/>
                <w:szCs w:val="21"/>
              </w:rPr>
            </w:pPr>
            <w:r w:rsidRPr="001C6D6E">
              <w:rPr>
                <w:rFonts w:ascii="Times New Roman" w:hAnsi="Times New Roman" w:cs="Times New Roman"/>
                <w:b/>
                <w:sz w:val="21"/>
                <w:szCs w:val="21"/>
              </w:rPr>
              <w:t xml:space="preserve">Condition: </w:t>
            </w:r>
            <w:r w:rsidRPr="001C6D6E">
              <w:rPr>
                <w:rFonts w:ascii="Times New Roman" w:hAnsi="Times New Roman" w:cs="Times New Roman"/>
                <w:sz w:val="21"/>
                <w:szCs w:val="21"/>
              </w:rPr>
              <w:t>Basic knowledge of microeconomic theory and familiarity with fundamental concepts of Business Organisation and</w:t>
            </w:r>
            <w:r w:rsidR="001C6D6E" w:rsidRPr="001C6D6E">
              <w:rPr>
                <w:rFonts w:ascii="Times New Roman" w:hAnsi="Times New Roman" w:cs="Times New Roman"/>
                <w:sz w:val="21"/>
                <w:szCs w:val="21"/>
              </w:rPr>
              <w:t xml:space="preserve"> </w:t>
            </w:r>
            <w:r w:rsidRPr="001C6D6E">
              <w:rPr>
                <w:rFonts w:ascii="Times New Roman" w:hAnsi="Times New Roman" w:cs="Times New Roman"/>
                <w:w w:val="103"/>
                <w:sz w:val="21"/>
                <w:szCs w:val="21"/>
              </w:rPr>
              <w:t>Regulation.</w:t>
            </w:r>
          </w:p>
        </w:tc>
      </w:tr>
      <w:tr w:rsidR="00324E30" w:rsidRPr="001C6D6E">
        <w:trPr>
          <w:trHeight w:hRule="exact" w:val="1152"/>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41" w:lineRule="exact"/>
              <w:ind w:left="100" w:right="7214"/>
              <w:jc w:val="both"/>
              <w:rPr>
                <w:rFonts w:ascii="Times New Roman" w:eastAsia="Times New Roman" w:hAnsi="Times New Roman" w:cs="Times New Roman"/>
                <w:sz w:val="21"/>
                <w:szCs w:val="21"/>
              </w:rPr>
            </w:pPr>
            <w:r w:rsidRPr="001C6D6E">
              <w:rPr>
                <w:rFonts w:ascii="Times New Roman" w:hAnsi="Times New Roman" w:cs="Times New Roman"/>
                <w:b/>
                <w:sz w:val="21"/>
                <w:szCs w:val="21"/>
              </w:rPr>
              <w:t>Course  objective:</w:t>
            </w:r>
          </w:p>
          <w:p w:rsidR="00324E30" w:rsidRPr="001C6D6E" w:rsidRDefault="00BD1D34">
            <w:pPr>
              <w:spacing w:before="2" w:after="0" w:line="244" w:lineRule="auto"/>
              <w:ind w:left="100" w:right="30"/>
              <w:jc w:val="both"/>
              <w:rPr>
                <w:rFonts w:ascii="Times New Roman" w:eastAsia="Times New Roman" w:hAnsi="Times New Roman" w:cs="Times New Roman"/>
                <w:sz w:val="21"/>
                <w:szCs w:val="21"/>
              </w:rPr>
            </w:pPr>
            <w:r w:rsidRPr="001C6D6E">
              <w:rPr>
                <w:rFonts w:ascii="Times New Roman" w:hAnsi="Times New Roman" w:cs="Times New Roman"/>
                <w:sz w:val="21"/>
                <w:szCs w:val="21"/>
              </w:rPr>
              <w:t>The objectives of the course are twofold. First, to critically review economic concepts, methodological frameworks and empirical results concerning foreign direct investment (FDI) and the particular strategic challenges that relate to the management of FDI projects in South-East Europe. Second, to review the legal and tax issues related to investment decisions and the process of regulatory convergence.</w:t>
            </w:r>
          </w:p>
        </w:tc>
      </w:tr>
      <w:tr w:rsidR="00324E30" w:rsidRPr="001C6D6E">
        <w:trPr>
          <w:trHeight w:hRule="exact" w:val="926"/>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41" w:lineRule="exact"/>
              <w:ind w:left="100" w:right="-20"/>
              <w:rPr>
                <w:rFonts w:ascii="Times New Roman" w:eastAsia="Times New Roman" w:hAnsi="Times New Roman" w:cs="Times New Roman"/>
                <w:sz w:val="21"/>
                <w:szCs w:val="21"/>
              </w:rPr>
            </w:pPr>
            <w:r w:rsidRPr="001C6D6E">
              <w:rPr>
                <w:rFonts w:ascii="Times New Roman" w:hAnsi="Times New Roman" w:cs="Times New Roman"/>
                <w:b/>
                <w:sz w:val="21"/>
                <w:szCs w:val="21"/>
              </w:rPr>
              <w:t>Course outcome:</w:t>
            </w:r>
          </w:p>
          <w:p w:rsidR="00324E30" w:rsidRPr="001C6D6E" w:rsidRDefault="00BD1D34">
            <w:pPr>
              <w:spacing w:after="0" w:line="216" w:lineRule="exact"/>
              <w:ind w:left="100" w:right="-20"/>
              <w:rPr>
                <w:rFonts w:ascii="Times New Roman" w:eastAsia="Times New Roman" w:hAnsi="Times New Roman" w:cs="Times New Roman"/>
                <w:sz w:val="21"/>
                <w:szCs w:val="21"/>
              </w:rPr>
            </w:pPr>
            <w:r w:rsidRPr="001C6D6E">
              <w:rPr>
                <w:rFonts w:ascii="Times New Roman" w:hAnsi="Times New Roman" w:cs="Times New Roman"/>
                <w:sz w:val="21"/>
                <w:szCs w:val="21"/>
              </w:rPr>
              <w:t>At the end of the course, students should be able to: a) Apply relevant theoretical frameworks to specific cases of FDI in the</w:t>
            </w:r>
          </w:p>
          <w:p w:rsidR="00324E30" w:rsidRPr="001C6D6E" w:rsidRDefault="00BD1D34">
            <w:pPr>
              <w:spacing w:before="7" w:after="0" w:line="247" w:lineRule="auto"/>
              <w:ind w:left="100" w:right="39"/>
              <w:rPr>
                <w:rFonts w:ascii="Times New Roman" w:eastAsia="Times New Roman" w:hAnsi="Times New Roman" w:cs="Times New Roman"/>
                <w:sz w:val="21"/>
                <w:szCs w:val="21"/>
              </w:rPr>
            </w:pPr>
            <w:r w:rsidRPr="001C6D6E">
              <w:rPr>
                <w:rFonts w:ascii="Times New Roman" w:hAnsi="Times New Roman" w:cs="Times New Roman"/>
                <w:sz w:val="21"/>
                <w:szCs w:val="21"/>
              </w:rPr>
              <w:t>region, providing usable analysis and evaluations. b)To find practical solutions for implementing investment decisions, including corporate and tax planning.</w:t>
            </w:r>
          </w:p>
        </w:tc>
      </w:tr>
      <w:tr w:rsidR="00324E30" w:rsidRPr="001C6D6E">
        <w:trPr>
          <w:trHeight w:hRule="exact" w:val="1598"/>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41" w:lineRule="exact"/>
              <w:ind w:left="100" w:right="6925"/>
              <w:jc w:val="both"/>
              <w:rPr>
                <w:rFonts w:ascii="Times New Roman" w:eastAsia="Times New Roman" w:hAnsi="Times New Roman" w:cs="Times New Roman"/>
                <w:sz w:val="21"/>
                <w:szCs w:val="21"/>
              </w:rPr>
            </w:pPr>
            <w:r w:rsidRPr="001C6D6E">
              <w:rPr>
                <w:rFonts w:ascii="Times New Roman" w:hAnsi="Times New Roman" w:cs="Times New Roman"/>
                <w:b/>
                <w:sz w:val="21"/>
                <w:szCs w:val="21"/>
              </w:rPr>
              <w:t>Course content</w:t>
            </w:r>
          </w:p>
          <w:p w:rsidR="00324E30" w:rsidRPr="001C6D6E" w:rsidRDefault="00BD1D34">
            <w:pPr>
              <w:spacing w:before="2" w:after="0" w:line="245" w:lineRule="auto"/>
              <w:ind w:left="100" w:right="29"/>
              <w:jc w:val="both"/>
              <w:rPr>
                <w:rFonts w:ascii="Times New Roman" w:eastAsia="Times New Roman" w:hAnsi="Times New Roman" w:cs="Times New Roman"/>
                <w:sz w:val="21"/>
                <w:szCs w:val="21"/>
              </w:rPr>
            </w:pPr>
            <w:r w:rsidRPr="001C6D6E">
              <w:rPr>
                <w:rFonts w:ascii="Times New Roman" w:hAnsi="Times New Roman" w:cs="Times New Roman"/>
                <w:sz w:val="21"/>
                <w:szCs w:val="21"/>
              </w:rPr>
              <w:t>The course intends to provide students with an insight into economic and legal aspects of International Business, concentrating on South-East Europe. In the first part, the course analyses the determinants of FDI and in particular  Vernon’s trade cycle theory, Porter’s competitive advantage theory, Dunning’ s eclectic paradigm, as well as empirical evidence mostly related to SE Europe. The second part focuses on the modalities of FDI, and in particular,the choice of entry mode in markets,the expediency and ways of setting up joint ventures,strategic alliances, mergers and acquisitions and, finally, legal and tax issues related to the treatment of FDI.</w:t>
            </w:r>
          </w:p>
        </w:tc>
      </w:tr>
      <w:tr w:rsidR="00324E30" w:rsidRPr="001C6D6E">
        <w:trPr>
          <w:trHeight w:hRule="exact" w:val="3480"/>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41" w:lineRule="exact"/>
              <w:ind w:left="100" w:right="7478"/>
              <w:jc w:val="both"/>
              <w:rPr>
                <w:rFonts w:ascii="Times New Roman" w:eastAsia="Times New Roman" w:hAnsi="Times New Roman" w:cs="Times New Roman"/>
                <w:sz w:val="21"/>
                <w:szCs w:val="21"/>
              </w:rPr>
            </w:pPr>
            <w:r w:rsidRPr="001C6D6E">
              <w:rPr>
                <w:rFonts w:ascii="Times New Roman" w:hAnsi="Times New Roman" w:cs="Times New Roman"/>
                <w:b/>
                <w:w w:val="102"/>
                <w:sz w:val="21"/>
                <w:szCs w:val="21"/>
              </w:rPr>
              <w:t>Literature:</w:t>
            </w:r>
          </w:p>
          <w:p w:rsidR="00324E30" w:rsidRPr="001C6D6E" w:rsidRDefault="00BD1D34">
            <w:pPr>
              <w:spacing w:before="7" w:after="0" w:line="247" w:lineRule="auto"/>
              <w:ind w:left="100" w:right="38"/>
              <w:jc w:val="both"/>
              <w:rPr>
                <w:rFonts w:ascii="Times New Roman" w:eastAsia="Times New Roman" w:hAnsi="Times New Roman" w:cs="Times New Roman"/>
                <w:sz w:val="21"/>
                <w:szCs w:val="21"/>
              </w:rPr>
            </w:pPr>
            <w:r w:rsidRPr="001C6D6E">
              <w:rPr>
                <w:rFonts w:ascii="Times New Roman" w:hAnsi="Times New Roman" w:cs="Times New Roman"/>
                <w:sz w:val="21"/>
                <w:szCs w:val="21"/>
              </w:rPr>
              <w:t xml:space="preserve">Ajami, R.A. (2006), </w:t>
            </w:r>
            <w:r w:rsidRPr="001C6D6E">
              <w:rPr>
                <w:rFonts w:ascii="Times New Roman" w:hAnsi="Times New Roman" w:cs="Times New Roman"/>
                <w:i/>
                <w:sz w:val="21"/>
                <w:szCs w:val="21"/>
              </w:rPr>
              <w:t>International Business: Theory and Practice</w:t>
            </w:r>
            <w:r w:rsidRPr="001C6D6E">
              <w:rPr>
                <w:rFonts w:ascii="Times New Roman" w:hAnsi="Times New Roman" w:cs="Times New Roman"/>
                <w:sz w:val="21"/>
                <w:szCs w:val="21"/>
              </w:rPr>
              <w:t xml:space="preserve">, Armonk  NY: M.E. Sharpe. Demekas et al (2005), </w:t>
            </w:r>
            <w:r w:rsidRPr="001C6D6E">
              <w:rPr>
                <w:rFonts w:ascii="Times New Roman" w:hAnsi="Times New Roman" w:cs="Times New Roman"/>
                <w:i/>
                <w:w w:val="104"/>
                <w:sz w:val="21"/>
                <w:szCs w:val="21"/>
              </w:rPr>
              <w:t>FDI in Southeastern Europe: How can policies help?</w:t>
            </w:r>
            <w:r w:rsidRPr="001C6D6E">
              <w:rPr>
                <w:rFonts w:ascii="Times New Roman" w:hAnsi="Times New Roman" w:cs="Times New Roman"/>
                <w:sz w:val="21"/>
                <w:szCs w:val="21"/>
              </w:rPr>
              <w:t xml:space="preserve">, Washington D.C.: IMF. Janson, H. (2007), </w:t>
            </w:r>
            <w:r w:rsidRPr="001C6D6E">
              <w:rPr>
                <w:rFonts w:ascii="Times New Roman" w:hAnsi="Times New Roman" w:cs="Times New Roman"/>
                <w:i/>
                <w:sz w:val="21"/>
                <w:szCs w:val="21"/>
              </w:rPr>
              <w:t>International Business Strategy in Emerging Country Markets: The Institutional Network Approach</w:t>
            </w:r>
            <w:r w:rsidRPr="001C6D6E">
              <w:rPr>
                <w:rFonts w:ascii="Times New Roman" w:hAnsi="Times New Roman" w:cs="Times New Roman"/>
                <w:sz w:val="21"/>
                <w:szCs w:val="21"/>
              </w:rPr>
              <w:t xml:space="preserve">, Cheltenham UK:Edward Elgar. Jovanovic, Μ. (2001): </w:t>
            </w:r>
            <w:r w:rsidRPr="001C6D6E">
              <w:rPr>
                <w:rFonts w:ascii="Times New Roman" w:hAnsi="Times New Roman" w:cs="Times New Roman"/>
                <w:i/>
                <w:sz w:val="21"/>
                <w:szCs w:val="21"/>
              </w:rPr>
              <w:t>Geography of Production and Economic Integration</w:t>
            </w:r>
            <w:r w:rsidRPr="001C6D6E">
              <w:rPr>
                <w:rFonts w:ascii="Times New Roman" w:hAnsi="Times New Roman" w:cs="Times New Roman"/>
                <w:sz w:val="21"/>
                <w:szCs w:val="21"/>
              </w:rPr>
              <w:t xml:space="preserve">, London, Routledge. Kavil, J.P. Neelan (2007), </w:t>
            </w:r>
            <w:r w:rsidRPr="001C6D6E">
              <w:rPr>
                <w:rFonts w:ascii="Times New Roman" w:hAnsi="Times New Roman" w:cs="Times New Roman"/>
                <w:i/>
                <w:w w:val="104"/>
                <w:sz w:val="21"/>
                <w:szCs w:val="21"/>
              </w:rPr>
              <w:t xml:space="preserve">International Business Research, </w:t>
            </w:r>
            <w:r w:rsidRPr="001C6D6E">
              <w:rPr>
                <w:rFonts w:ascii="Times New Roman" w:hAnsi="Times New Roman" w:cs="Times New Roman"/>
                <w:sz w:val="21"/>
                <w:szCs w:val="21"/>
              </w:rPr>
              <w:t xml:space="preserve">Armonk NY: M.E. Sharpe. Manea, J. &amp; R. Pearce  (2004,)  </w:t>
            </w:r>
            <w:r w:rsidRPr="001C6D6E">
              <w:rPr>
                <w:rFonts w:ascii="Times New Roman" w:hAnsi="Times New Roman" w:cs="Times New Roman"/>
                <w:i/>
                <w:sz w:val="21"/>
                <w:szCs w:val="21"/>
              </w:rPr>
              <w:t>Multinationals  and  Transition:  Business  Strategies,  Technology  and  Transformation   in  Central  and  Eastern  Europe</w:t>
            </w:r>
            <w:r w:rsidRPr="001C6D6E">
              <w:rPr>
                <w:rFonts w:ascii="Times New Roman" w:hAnsi="Times New Roman" w:cs="Times New Roman"/>
                <w:sz w:val="21"/>
                <w:szCs w:val="21"/>
              </w:rPr>
              <w:t xml:space="preserve">, Basingstoke  UK:  Palgrave.  Mutti,  J.  (2003),  </w:t>
            </w:r>
            <w:r w:rsidRPr="001C6D6E">
              <w:rPr>
                <w:rFonts w:ascii="Times New Roman" w:hAnsi="Times New Roman" w:cs="Times New Roman"/>
                <w:i/>
                <w:sz w:val="21"/>
                <w:szCs w:val="21"/>
              </w:rPr>
              <w:t xml:space="preserve">FDI  and  Tax  Competition,  </w:t>
            </w:r>
            <w:r w:rsidRPr="001C6D6E">
              <w:rPr>
                <w:rFonts w:ascii="Times New Roman" w:hAnsi="Times New Roman" w:cs="Times New Roman"/>
                <w:sz w:val="21"/>
                <w:szCs w:val="21"/>
              </w:rPr>
              <w:t xml:space="preserve">Institute  of  International  Economics,  Washington  D.C. Papazoglou,  Ch.  (2005):  </w:t>
            </w:r>
            <w:r w:rsidRPr="001C6D6E">
              <w:rPr>
                <w:rFonts w:ascii="Times New Roman" w:hAnsi="Times New Roman" w:cs="Times New Roman"/>
                <w:i/>
                <w:sz w:val="21"/>
                <w:szCs w:val="21"/>
              </w:rPr>
              <w:t xml:space="preserve">The  Economies  of  South  Eastern  Europe:  Problems  and  Prospects,  </w:t>
            </w:r>
            <w:r w:rsidRPr="001C6D6E">
              <w:rPr>
                <w:rFonts w:ascii="Times New Roman" w:hAnsi="Times New Roman" w:cs="Times New Roman"/>
                <w:sz w:val="21"/>
                <w:szCs w:val="21"/>
              </w:rPr>
              <w:t xml:space="preserve">UK: Palgrave.  UNCTAD (1993), </w:t>
            </w:r>
            <w:r w:rsidRPr="001C6D6E">
              <w:rPr>
                <w:rFonts w:ascii="Times New Roman" w:hAnsi="Times New Roman" w:cs="Times New Roman"/>
                <w:i/>
                <w:w w:val="104"/>
                <w:sz w:val="21"/>
                <w:szCs w:val="21"/>
              </w:rPr>
              <w:t xml:space="preserve">World  Investment Report. Transnational Corporations and  Integrated  International Production, </w:t>
            </w:r>
            <w:r w:rsidRPr="001C6D6E">
              <w:rPr>
                <w:rFonts w:ascii="Times New Roman" w:hAnsi="Times New Roman" w:cs="Times New Roman"/>
                <w:sz w:val="21"/>
                <w:szCs w:val="21"/>
              </w:rPr>
              <w:t xml:space="preserve">UN publication, Sales No. E.93.II.A.14. UNCTAD (1998), </w:t>
            </w:r>
            <w:r w:rsidRPr="001C6D6E">
              <w:rPr>
                <w:rFonts w:ascii="Times New Roman" w:hAnsi="Times New Roman" w:cs="Times New Roman"/>
                <w:i/>
                <w:sz w:val="21"/>
                <w:szCs w:val="21"/>
              </w:rPr>
              <w:t xml:space="preserve">World  Investment Report. Trends and Determinants, </w:t>
            </w:r>
            <w:r w:rsidRPr="001C6D6E">
              <w:rPr>
                <w:rFonts w:ascii="Times New Roman" w:hAnsi="Times New Roman" w:cs="Times New Roman"/>
                <w:sz w:val="21"/>
                <w:szCs w:val="21"/>
              </w:rPr>
              <w:t xml:space="preserve">UN publication, Sales No. E.98.II.D.5.  Braithwaite  J.  &amp;  P.  Drahos  (2000),  </w:t>
            </w:r>
            <w:r w:rsidRPr="001C6D6E">
              <w:rPr>
                <w:rFonts w:ascii="Times New Roman" w:hAnsi="Times New Roman" w:cs="Times New Roman"/>
                <w:i/>
                <w:sz w:val="21"/>
                <w:szCs w:val="21"/>
              </w:rPr>
              <w:t xml:space="preserve">Global  Business  Regulation,  </w:t>
            </w:r>
            <w:r w:rsidRPr="001C6D6E">
              <w:rPr>
                <w:rFonts w:ascii="Times New Roman" w:hAnsi="Times New Roman" w:cs="Times New Roman"/>
                <w:sz w:val="21"/>
                <w:szCs w:val="21"/>
              </w:rPr>
              <w:t xml:space="preserve">Cambridge  U.K.:  Cambridge  University Press.  Brewer,  T.L.  &amp;  S.  Young  (2000),  </w:t>
            </w:r>
            <w:r w:rsidRPr="001C6D6E">
              <w:rPr>
                <w:rFonts w:ascii="Times New Roman" w:hAnsi="Times New Roman" w:cs="Times New Roman"/>
                <w:i/>
                <w:sz w:val="21"/>
                <w:szCs w:val="21"/>
              </w:rPr>
              <w:t xml:space="preserve">The  Multilateral  Investment  System  and  Multinational  Enterprises,  </w:t>
            </w:r>
            <w:r w:rsidRPr="001C6D6E">
              <w:rPr>
                <w:rFonts w:ascii="Times New Roman" w:hAnsi="Times New Roman" w:cs="Times New Roman"/>
                <w:sz w:val="21"/>
                <w:szCs w:val="21"/>
              </w:rPr>
              <w:t xml:space="preserve">Oxford: Oxford University Press. Friedland, J.A. (2002), </w:t>
            </w:r>
            <w:r w:rsidRPr="001C6D6E">
              <w:rPr>
                <w:rFonts w:ascii="Times New Roman" w:hAnsi="Times New Roman" w:cs="Times New Roman"/>
                <w:i/>
                <w:sz w:val="21"/>
                <w:szCs w:val="21"/>
              </w:rPr>
              <w:t xml:space="preserve">Understanding International Business and Financial Transactions, </w:t>
            </w:r>
            <w:r w:rsidRPr="001C6D6E">
              <w:rPr>
                <w:rFonts w:ascii="Times New Roman" w:hAnsi="Times New Roman" w:cs="Times New Roman"/>
                <w:sz w:val="21"/>
                <w:szCs w:val="21"/>
              </w:rPr>
              <w:t xml:space="preserve">New York:  Lexisnexis.  Muchlinski,  P.T.,  (1999),  </w:t>
            </w:r>
            <w:r w:rsidRPr="001C6D6E">
              <w:rPr>
                <w:rFonts w:ascii="Times New Roman" w:hAnsi="Times New Roman" w:cs="Times New Roman"/>
                <w:i/>
                <w:sz w:val="21"/>
                <w:szCs w:val="21"/>
              </w:rPr>
              <w:t xml:space="preserve">Multinational  Enterprises  and  the  Law,  </w:t>
            </w:r>
            <w:r w:rsidRPr="001C6D6E">
              <w:rPr>
                <w:rFonts w:ascii="Times New Roman" w:hAnsi="Times New Roman" w:cs="Times New Roman"/>
                <w:sz w:val="21"/>
                <w:szCs w:val="21"/>
              </w:rPr>
              <w:t xml:space="preserve">Oxford:  Blackwell.  World  Bank (2003), </w:t>
            </w:r>
            <w:r w:rsidRPr="001C6D6E">
              <w:rPr>
                <w:rFonts w:ascii="Times New Roman" w:hAnsi="Times New Roman" w:cs="Times New Roman"/>
                <w:i/>
                <w:sz w:val="21"/>
                <w:szCs w:val="21"/>
              </w:rPr>
              <w:t xml:space="preserve">Doing Business in  2004. Understanding Regulation, </w:t>
            </w:r>
            <w:r w:rsidRPr="001C6D6E">
              <w:rPr>
                <w:rFonts w:ascii="Times New Roman" w:hAnsi="Times New Roman" w:cs="Times New Roman"/>
                <w:sz w:val="21"/>
                <w:szCs w:val="21"/>
              </w:rPr>
              <w:t xml:space="preserve">Washington  D.C.: World Bank. World  Bank (2004), </w:t>
            </w:r>
            <w:r w:rsidRPr="001C6D6E">
              <w:rPr>
                <w:rFonts w:ascii="Times New Roman" w:hAnsi="Times New Roman" w:cs="Times New Roman"/>
                <w:i/>
                <w:sz w:val="21"/>
                <w:szCs w:val="21"/>
              </w:rPr>
              <w:t xml:space="preserve">Doing Business in  2005.   Removing   Obstacles   to   Growth,   </w:t>
            </w:r>
            <w:r w:rsidRPr="001C6D6E">
              <w:rPr>
                <w:rFonts w:ascii="Times New Roman" w:hAnsi="Times New Roman" w:cs="Times New Roman"/>
                <w:sz w:val="21"/>
                <w:szCs w:val="21"/>
              </w:rPr>
              <w:t xml:space="preserve">Washington   D.C.:  World   Bank.   World  Bank   (2004),   </w:t>
            </w:r>
            <w:r w:rsidRPr="001C6D6E">
              <w:rPr>
                <w:rFonts w:ascii="Times New Roman" w:hAnsi="Times New Roman" w:cs="Times New Roman"/>
                <w:i/>
                <w:sz w:val="21"/>
                <w:szCs w:val="21"/>
              </w:rPr>
              <w:t xml:space="preserve">World Development Report 2005. A Better Investment Climate for Everyone, </w:t>
            </w:r>
            <w:r w:rsidRPr="001C6D6E">
              <w:rPr>
                <w:rFonts w:ascii="Times New Roman" w:hAnsi="Times New Roman" w:cs="Times New Roman"/>
                <w:sz w:val="21"/>
                <w:szCs w:val="21"/>
              </w:rPr>
              <w:t>Washington D.C.: World Bank.</w:t>
            </w:r>
          </w:p>
        </w:tc>
      </w:tr>
      <w:tr w:rsidR="00324E30" w:rsidRPr="001C6D6E">
        <w:trPr>
          <w:trHeight w:hRule="exact" w:val="259"/>
        </w:trPr>
        <w:tc>
          <w:tcPr>
            <w:tcW w:w="6998" w:type="dxa"/>
            <w:gridSpan w:val="6"/>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41" w:lineRule="exact"/>
              <w:ind w:left="100" w:right="-20"/>
              <w:rPr>
                <w:rFonts w:ascii="Times New Roman" w:eastAsia="Times New Roman" w:hAnsi="Times New Roman" w:cs="Times New Roman"/>
                <w:sz w:val="21"/>
                <w:szCs w:val="21"/>
              </w:rPr>
            </w:pPr>
            <w:r w:rsidRPr="001C6D6E">
              <w:rPr>
                <w:rFonts w:ascii="Times New Roman" w:hAnsi="Times New Roman" w:cs="Times New Roman"/>
                <w:b/>
                <w:sz w:val="21"/>
                <w:szCs w:val="21"/>
              </w:rPr>
              <w:t>Number of classes of teaching</w:t>
            </w:r>
          </w:p>
        </w:tc>
        <w:tc>
          <w:tcPr>
            <w:tcW w:w="1867" w:type="dxa"/>
            <w:gridSpan w:val="2"/>
            <w:vMerge w:val="restart"/>
            <w:tcBorders>
              <w:top w:val="single" w:sz="4" w:space="0" w:color="000000"/>
              <w:left w:val="single" w:sz="4" w:space="0" w:color="000000"/>
              <w:right w:val="single" w:sz="4" w:space="0" w:color="000000"/>
            </w:tcBorders>
          </w:tcPr>
          <w:p w:rsidR="00324E30" w:rsidRPr="001C6D6E" w:rsidRDefault="00BD1D34">
            <w:pPr>
              <w:spacing w:after="0" w:line="213" w:lineRule="exact"/>
              <w:ind w:left="95" w:right="-20"/>
              <w:rPr>
                <w:rFonts w:ascii="Times New Roman" w:eastAsia="Times New Roman" w:hAnsi="Times New Roman" w:cs="Times New Roman"/>
                <w:sz w:val="21"/>
                <w:szCs w:val="21"/>
              </w:rPr>
            </w:pPr>
            <w:r w:rsidRPr="001C6D6E">
              <w:rPr>
                <w:rFonts w:ascii="Times New Roman" w:hAnsi="Times New Roman" w:cs="Times New Roman"/>
                <w:sz w:val="21"/>
                <w:szCs w:val="21"/>
              </w:rPr>
              <w:t>Other lectures</w:t>
            </w:r>
          </w:p>
        </w:tc>
      </w:tr>
      <w:tr w:rsidR="00324E30" w:rsidRPr="001C6D6E">
        <w:trPr>
          <w:trHeight w:hRule="exact" w:val="451"/>
        </w:trPr>
        <w:tc>
          <w:tcPr>
            <w:tcW w:w="1310" w:type="dxa"/>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100" w:right="-20"/>
              <w:rPr>
                <w:rFonts w:ascii="Times New Roman" w:eastAsia="Times New Roman" w:hAnsi="Times New Roman" w:cs="Times New Roman"/>
                <w:sz w:val="21"/>
                <w:szCs w:val="21"/>
              </w:rPr>
            </w:pPr>
            <w:r w:rsidRPr="001C6D6E">
              <w:rPr>
                <w:rFonts w:ascii="Times New Roman" w:hAnsi="Times New Roman" w:cs="Times New Roman"/>
                <w:w w:val="103"/>
                <w:sz w:val="21"/>
                <w:szCs w:val="21"/>
              </w:rPr>
              <w:t>Lectures:</w:t>
            </w:r>
          </w:p>
          <w:p w:rsidR="00324E30" w:rsidRPr="001C6D6E" w:rsidRDefault="00BD1D34">
            <w:pPr>
              <w:spacing w:before="7" w:after="0" w:line="240" w:lineRule="auto"/>
              <w:ind w:left="100" w:right="-20"/>
              <w:rPr>
                <w:rFonts w:ascii="Times New Roman" w:eastAsia="Times New Roman" w:hAnsi="Times New Roman" w:cs="Times New Roman"/>
                <w:sz w:val="21"/>
                <w:szCs w:val="21"/>
              </w:rPr>
            </w:pPr>
            <w:r w:rsidRPr="001C6D6E">
              <w:rPr>
                <w:rFonts w:ascii="Times New Roman" w:hAnsi="Times New Roman" w:cs="Times New Roman"/>
                <w:w w:val="103"/>
                <w:sz w:val="21"/>
                <w:szCs w:val="21"/>
              </w:rPr>
              <w:t>15x3=45</w:t>
            </w:r>
          </w:p>
        </w:tc>
        <w:tc>
          <w:tcPr>
            <w:tcW w:w="1133" w:type="dxa"/>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105" w:right="-20"/>
              <w:rPr>
                <w:rFonts w:ascii="Times New Roman" w:eastAsia="Times New Roman" w:hAnsi="Times New Roman" w:cs="Times New Roman"/>
                <w:sz w:val="21"/>
                <w:szCs w:val="21"/>
              </w:rPr>
            </w:pPr>
            <w:r w:rsidRPr="001C6D6E">
              <w:rPr>
                <w:rFonts w:ascii="Times New Roman" w:hAnsi="Times New Roman" w:cs="Times New Roman"/>
                <w:w w:val="103"/>
                <w:sz w:val="21"/>
                <w:szCs w:val="21"/>
              </w:rPr>
              <w:t>Practical work:</w:t>
            </w:r>
          </w:p>
        </w:tc>
        <w:tc>
          <w:tcPr>
            <w:tcW w:w="1517" w:type="dxa"/>
            <w:gridSpan w:val="2"/>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95" w:right="-20"/>
              <w:rPr>
                <w:rFonts w:ascii="Times New Roman" w:eastAsia="Times New Roman" w:hAnsi="Times New Roman" w:cs="Times New Roman"/>
                <w:sz w:val="21"/>
                <w:szCs w:val="21"/>
              </w:rPr>
            </w:pPr>
            <w:r w:rsidRPr="001C6D6E">
              <w:rPr>
                <w:rFonts w:ascii="Times New Roman" w:hAnsi="Times New Roman" w:cs="Times New Roman"/>
                <w:sz w:val="21"/>
                <w:szCs w:val="21"/>
              </w:rPr>
              <w:t>Other forms of</w:t>
            </w:r>
          </w:p>
          <w:p w:rsidR="00324E30" w:rsidRPr="001C6D6E" w:rsidRDefault="00BD1D34">
            <w:pPr>
              <w:spacing w:before="7" w:after="0" w:line="240" w:lineRule="auto"/>
              <w:ind w:left="95" w:right="-20"/>
              <w:rPr>
                <w:rFonts w:ascii="Times New Roman" w:eastAsia="Times New Roman" w:hAnsi="Times New Roman" w:cs="Times New Roman"/>
                <w:sz w:val="21"/>
                <w:szCs w:val="21"/>
              </w:rPr>
            </w:pPr>
            <w:r w:rsidRPr="001C6D6E">
              <w:rPr>
                <w:rFonts w:ascii="Times New Roman" w:hAnsi="Times New Roman" w:cs="Times New Roman"/>
                <w:w w:val="103"/>
                <w:sz w:val="21"/>
                <w:szCs w:val="21"/>
              </w:rPr>
              <w:t>teaching</w:t>
            </w:r>
          </w:p>
        </w:tc>
        <w:tc>
          <w:tcPr>
            <w:tcW w:w="3038" w:type="dxa"/>
            <w:gridSpan w:val="2"/>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95" w:right="-20"/>
              <w:rPr>
                <w:rFonts w:ascii="Times New Roman" w:eastAsia="Times New Roman" w:hAnsi="Times New Roman" w:cs="Times New Roman"/>
                <w:sz w:val="21"/>
                <w:szCs w:val="21"/>
              </w:rPr>
            </w:pPr>
            <w:r w:rsidRPr="001C6D6E">
              <w:rPr>
                <w:rFonts w:ascii="Times New Roman" w:hAnsi="Times New Roman" w:cs="Times New Roman"/>
                <w:w w:val="103"/>
                <w:sz w:val="21"/>
                <w:szCs w:val="21"/>
              </w:rPr>
              <w:t>Studying research work:   2</w:t>
            </w:r>
          </w:p>
          <w:p w:rsidR="00324E30" w:rsidRPr="001C6D6E" w:rsidRDefault="00BD1D34">
            <w:pPr>
              <w:spacing w:before="7" w:after="0" w:line="240" w:lineRule="auto"/>
              <w:ind w:left="95" w:right="-20"/>
              <w:rPr>
                <w:rFonts w:ascii="Times New Roman" w:eastAsia="Times New Roman" w:hAnsi="Times New Roman" w:cs="Times New Roman"/>
                <w:sz w:val="21"/>
                <w:szCs w:val="21"/>
              </w:rPr>
            </w:pPr>
            <w:r w:rsidRPr="001C6D6E">
              <w:rPr>
                <w:rFonts w:ascii="Times New Roman" w:hAnsi="Times New Roman" w:cs="Times New Roman"/>
                <w:sz w:val="21"/>
                <w:szCs w:val="21"/>
              </w:rPr>
              <w:t>(preparation for final work)</w:t>
            </w:r>
          </w:p>
        </w:tc>
        <w:tc>
          <w:tcPr>
            <w:tcW w:w="1867" w:type="dxa"/>
            <w:gridSpan w:val="2"/>
            <w:vMerge/>
            <w:tcBorders>
              <w:left w:val="single" w:sz="4" w:space="0" w:color="000000"/>
              <w:bottom w:val="single" w:sz="4" w:space="0" w:color="000000"/>
              <w:right w:val="single" w:sz="4" w:space="0" w:color="000000"/>
            </w:tcBorders>
          </w:tcPr>
          <w:p w:rsidR="00324E30" w:rsidRPr="001C6D6E" w:rsidRDefault="00324E30">
            <w:pPr>
              <w:rPr>
                <w:rFonts w:ascii="Times New Roman" w:hAnsi="Times New Roman" w:cs="Times New Roman"/>
                <w:sz w:val="21"/>
                <w:szCs w:val="21"/>
              </w:rPr>
            </w:pPr>
          </w:p>
        </w:tc>
      </w:tr>
      <w:tr w:rsidR="00324E30" w:rsidRPr="001C6D6E">
        <w:trPr>
          <w:trHeight w:hRule="exact" w:val="350"/>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41" w:lineRule="exact"/>
              <w:ind w:left="100" w:right="-20"/>
              <w:rPr>
                <w:rFonts w:ascii="Times New Roman" w:eastAsia="Times New Roman" w:hAnsi="Times New Roman" w:cs="Times New Roman"/>
                <w:sz w:val="21"/>
                <w:szCs w:val="21"/>
              </w:rPr>
            </w:pPr>
            <w:r w:rsidRPr="001C6D6E">
              <w:rPr>
                <w:rFonts w:ascii="Times New Roman" w:hAnsi="Times New Roman" w:cs="Times New Roman"/>
                <w:b/>
                <w:sz w:val="21"/>
                <w:szCs w:val="21"/>
              </w:rPr>
              <w:t xml:space="preserve">Methods of teaching: </w:t>
            </w:r>
            <w:r w:rsidRPr="001C6D6E">
              <w:rPr>
                <w:rFonts w:ascii="Times New Roman" w:hAnsi="Times New Roman" w:cs="Times New Roman"/>
                <w:sz w:val="21"/>
                <w:szCs w:val="21"/>
              </w:rPr>
              <w:t>Ex-catedra, interactive teaching, discussion groups,seminars, progress tests</w:t>
            </w:r>
          </w:p>
        </w:tc>
      </w:tr>
      <w:tr w:rsidR="00324E30" w:rsidRPr="001C6D6E">
        <w:trPr>
          <w:trHeight w:hRule="exact" w:val="259"/>
        </w:trPr>
        <w:tc>
          <w:tcPr>
            <w:tcW w:w="8866" w:type="dxa"/>
            <w:gridSpan w:val="8"/>
            <w:tcBorders>
              <w:top w:val="single" w:sz="4" w:space="0" w:color="000000"/>
              <w:left w:val="single" w:sz="4" w:space="0" w:color="000000"/>
              <w:bottom w:val="single" w:sz="4" w:space="0" w:color="000000"/>
              <w:right w:val="single" w:sz="4" w:space="0" w:color="000000"/>
            </w:tcBorders>
          </w:tcPr>
          <w:p w:rsidR="00324E30" w:rsidRPr="001C6D6E" w:rsidRDefault="00BD1D34">
            <w:pPr>
              <w:spacing w:before="4" w:after="0" w:line="240" w:lineRule="auto"/>
              <w:ind w:left="2341" w:right="-20"/>
              <w:rPr>
                <w:rFonts w:ascii="Times New Roman" w:eastAsia="Times New Roman" w:hAnsi="Times New Roman" w:cs="Times New Roman"/>
                <w:sz w:val="21"/>
                <w:szCs w:val="21"/>
              </w:rPr>
            </w:pPr>
            <w:r w:rsidRPr="001C6D6E">
              <w:rPr>
                <w:rFonts w:ascii="Times New Roman" w:hAnsi="Times New Roman" w:cs="Times New Roman"/>
                <w:b/>
                <w:sz w:val="21"/>
                <w:szCs w:val="21"/>
              </w:rPr>
              <w:t>Grading (maximum number of points 100)</w:t>
            </w:r>
          </w:p>
        </w:tc>
      </w:tr>
      <w:tr w:rsidR="00324E30" w:rsidRPr="001C6D6E">
        <w:trPr>
          <w:trHeight w:hRule="exact" w:val="254"/>
        </w:trPr>
        <w:tc>
          <w:tcPr>
            <w:tcW w:w="3259" w:type="dxa"/>
            <w:gridSpan w:val="3"/>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41" w:lineRule="exact"/>
              <w:ind w:left="100" w:right="-20"/>
              <w:rPr>
                <w:rFonts w:ascii="Times New Roman" w:eastAsia="Times New Roman" w:hAnsi="Times New Roman" w:cs="Times New Roman"/>
                <w:sz w:val="21"/>
                <w:szCs w:val="21"/>
              </w:rPr>
            </w:pPr>
            <w:r w:rsidRPr="001C6D6E">
              <w:rPr>
                <w:rFonts w:ascii="Times New Roman" w:hAnsi="Times New Roman" w:cs="Times New Roman"/>
                <w:b/>
                <w:sz w:val="21"/>
                <w:szCs w:val="21"/>
              </w:rPr>
              <w:t>Pre-exam assignments</w:t>
            </w:r>
          </w:p>
        </w:tc>
        <w:tc>
          <w:tcPr>
            <w:tcW w:w="1334" w:type="dxa"/>
            <w:gridSpan w:val="2"/>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41" w:lineRule="exact"/>
              <w:ind w:left="95" w:right="-20"/>
              <w:rPr>
                <w:rFonts w:ascii="Times New Roman" w:eastAsia="Times New Roman" w:hAnsi="Times New Roman" w:cs="Times New Roman"/>
                <w:sz w:val="21"/>
                <w:szCs w:val="21"/>
              </w:rPr>
            </w:pPr>
            <w:r w:rsidRPr="001C6D6E">
              <w:rPr>
                <w:rFonts w:ascii="Times New Roman" w:hAnsi="Times New Roman" w:cs="Times New Roman"/>
                <w:b/>
                <w:w w:val="102"/>
                <w:sz w:val="21"/>
                <w:szCs w:val="21"/>
              </w:rPr>
              <w:t>points</w:t>
            </w:r>
          </w:p>
        </w:tc>
        <w:tc>
          <w:tcPr>
            <w:tcW w:w="3043" w:type="dxa"/>
            <w:gridSpan w:val="2"/>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105" w:right="-20"/>
              <w:rPr>
                <w:rFonts w:ascii="Times New Roman" w:eastAsia="Times New Roman" w:hAnsi="Times New Roman" w:cs="Times New Roman"/>
                <w:sz w:val="21"/>
                <w:szCs w:val="21"/>
              </w:rPr>
            </w:pPr>
            <w:r w:rsidRPr="001C6D6E">
              <w:rPr>
                <w:rFonts w:ascii="Times New Roman" w:hAnsi="Times New Roman" w:cs="Times New Roman"/>
                <w:sz w:val="21"/>
                <w:szCs w:val="21"/>
              </w:rPr>
              <w:t>Final exam</w:t>
            </w:r>
          </w:p>
        </w:tc>
        <w:tc>
          <w:tcPr>
            <w:tcW w:w="1229" w:type="dxa"/>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95" w:right="-20"/>
              <w:rPr>
                <w:rFonts w:ascii="Times New Roman" w:eastAsia="Times New Roman" w:hAnsi="Times New Roman" w:cs="Times New Roman"/>
                <w:sz w:val="21"/>
                <w:szCs w:val="21"/>
              </w:rPr>
            </w:pPr>
            <w:r w:rsidRPr="001C6D6E">
              <w:rPr>
                <w:rFonts w:ascii="Times New Roman" w:hAnsi="Times New Roman" w:cs="Times New Roman"/>
                <w:i/>
                <w:w w:val="103"/>
                <w:sz w:val="21"/>
                <w:szCs w:val="21"/>
              </w:rPr>
              <w:t>Points</w:t>
            </w:r>
          </w:p>
        </w:tc>
      </w:tr>
      <w:tr w:rsidR="00324E30" w:rsidRPr="001C6D6E">
        <w:trPr>
          <w:trHeight w:hRule="exact" w:val="235"/>
        </w:trPr>
        <w:tc>
          <w:tcPr>
            <w:tcW w:w="3259" w:type="dxa"/>
            <w:gridSpan w:val="3"/>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100" w:right="-20"/>
              <w:rPr>
                <w:rFonts w:ascii="Times New Roman" w:eastAsia="Times New Roman" w:hAnsi="Times New Roman" w:cs="Times New Roman"/>
                <w:sz w:val="21"/>
                <w:szCs w:val="21"/>
              </w:rPr>
            </w:pPr>
            <w:r w:rsidRPr="001C6D6E">
              <w:rPr>
                <w:rFonts w:ascii="Times New Roman" w:hAnsi="Times New Roman" w:cs="Times New Roman"/>
                <w:sz w:val="21"/>
                <w:szCs w:val="21"/>
              </w:rPr>
              <w:t>activities during lectures</w:t>
            </w:r>
          </w:p>
        </w:tc>
        <w:tc>
          <w:tcPr>
            <w:tcW w:w="1334" w:type="dxa"/>
            <w:gridSpan w:val="2"/>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436" w:right="-20"/>
              <w:rPr>
                <w:rFonts w:ascii="Times New Roman" w:eastAsia="Times New Roman" w:hAnsi="Times New Roman" w:cs="Times New Roman"/>
                <w:sz w:val="21"/>
                <w:szCs w:val="21"/>
              </w:rPr>
            </w:pPr>
            <w:r w:rsidRPr="001C6D6E">
              <w:rPr>
                <w:rFonts w:ascii="Times New Roman" w:hAnsi="Times New Roman" w:cs="Times New Roman"/>
                <w:w w:val="103"/>
                <w:sz w:val="21"/>
                <w:szCs w:val="21"/>
              </w:rPr>
              <w:t>10</w:t>
            </w:r>
          </w:p>
        </w:tc>
        <w:tc>
          <w:tcPr>
            <w:tcW w:w="3043" w:type="dxa"/>
            <w:gridSpan w:val="2"/>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105" w:right="-20"/>
              <w:rPr>
                <w:rFonts w:ascii="Times New Roman" w:eastAsia="Times New Roman" w:hAnsi="Times New Roman" w:cs="Times New Roman"/>
                <w:sz w:val="21"/>
                <w:szCs w:val="21"/>
              </w:rPr>
            </w:pPr>
            <w:r w:rsidRPr="001C6D6E">
              <w:rPr>
                <w:rFonts w:ascii="Times New Roman" w:hAnsi="Times New Roman" w:cs="Times New Roman"/>
                <w:sz w:val="21"/>
                <w:szCs w:val="21"/>
              </w:rPr>
              <w:t>written exam</w:t>
            </w:r>
          </w:p>
        </w:tc>
        <w:tc>
          <w:tcPr>
            <w:tcW w:w="1229" w:type="dxa"/>
            <w:tcBorders>
              <w:top w:val="single" w:sz="4" w:space="0" w:color="000000"/>
              <w:left w:val="single" w:sz="4" w:space="0" w:color="000000"/>
              <w:bottom w:val="single" w:sz="4" w:space="0" w:color="000000"/>
              <w:right w:val="single" w:sz="4" w:space="0" w:color="000000"/>
            </w:tcBorders>
          </w:tcPr>
          <w:p w:rsidR="00324E30" w:rsidRPr="001C6D6E" w:rsidRDefault="00324E30">
            <w:pPr>
              <w:rPr>
                <w:rFonts w:ascii="Times New Roman" w:hAnsi="Times New Roman" w:cs="Times New Roman"/>
                <w:sz w:val="21"/>
                <w:szCs w:val="21"/>
              </w:rPr>
            </w:pPr>
          </w:p>
        </w:tc>
      </w:tr>
      <w:tr w:rsidR="00324E30" w:rsidRPr="001C6D6E">
        <w:trPr>
          <w:trHeight w:hRule="exact" w:val="235"/>
        </w:trPr>
        <w:tc>
          <w:tcPr>
            <w:tcW w:w="3259" w:type="dxa"/>
            <w:gridSpan w:val="3"/>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100" w:right="-20"/>
              <w:rPr>
                <w:rFonts w:ascii="Times New Roman" w:eastAsia="Times New Roman" w:hAnsi="Times New Roman" w:cs="Times New Roman"/>
                <w:sz w:val="21"/>
                <w:szCs w:val="21"/>
              </w:rPr>
            </w:pPr>
            <w:r w:rsidRPr="001C6D6E">
              <w:rPr>
                <w:rFonts w:ascii="Times New Roman" w:hAnsi="Times New Roman" w:cs="Times New Roman"/>
                <w:sz w:val="21"/>
                <w:szCs w:val="21"/>
              </w:rPr>
              <w:t>practical work and tests</w:t>
            </w:r>
          </w:p>
        </w:tc>
        <w:tc>
          <w:tcPr>
            <w:tcW w:w="1334" w:type="dxa"/>
            <w:gridSpan w:val="2"/>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436" w:right="-20"/>
              <w:rPr>
                <w:rFonts w:ascii="Times New Roman" w:eastAsia="Times New Roman" w:hAnsi="Times New Roman" w:cs="Times New Roman"/>
                <w:sz w:val="21"/>
                <w:szCs w:val="21"/>
              </w:rPr>
            </w:pPr>
            <w:r w:rsidRPr="001C6D6E">
              <w:rPr>
                <w:rFonts w:ascii="Times New Roman" w:hAnsi="Times New Roman" w:cs="Times New Roman"/>
                <w:w w:val="103"/>
                <w:sz w:val="21"/>
                <w:szCs w:val="21"/>
              </w:rPr>
              <w:t>30</w:t>
            </w:r>
          </w:p>
        </w:tc>
        <w:tc>
          <w:tcPr>
            <w:tcW w:w="3043" w:type="dxa"/>
            <w:gridSpan w:val="2"/>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105" w:right="-20"/>
              <w:rPr>
                <w:rFonts w:ascii="Times New Roman" w:eastAsia="Times New Roman" w:hAnsi="Times New Roman" w:cs="Times New Roman"/>
                <w:sz w:val="21"/>
                <w:szCs w:val="21"/>
              </w:rPr>
            </w:pPr>
            <w:r w:rsidRPr="001C6D6E">
              <w:rPr>
                <w:rFonts w:ascii="Times New Roman" w:hAnsi="Times New Roman" w:cs="Times New Roman"/>
                <w:sz w:val="21"/>
                <w:szCs w:val="21"/>
              </w:rPr>
              <w:t>oral exam</w:t>
            </w:r>
          </w:p>
        </w:tc>
        <w:tc>
          <w:tcPr>
            <w:tcW w:w="1229" w:type="dxa"/>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191" w:right="-20"/>
              <w:rPr>
                <w:rFonts w:ascii="Times New Roman" w:eastAsia="Times New Roman" w:hAnsi="Times New Roman" w:cs="Times New Roman"/>
                <w:sz w:val="21"/>
                <w:szCs w:val="21"/>
              </w:rPr>
            </w:pPr>
            <w:r w:rsidRPr="001C6D6E">
              <w:rPr>
                <w:rFonts w:ascii="Times New Roman" w:hAnsi="Times New Roman" w:cs="Times New Roman"/>
                <w:w w:val="103"/>
                <w:sz w:val="21"/>
                <w:szCs w:val="21"/>
              </w:rPr>
              <w:t>50</w:t>
            </w:r>
          </w:p>
        </w:tc>
      </w:tr>
      <w:tr w:rsidR="00324E30" w:rsidRPr="001C6D6E">
        <w:trPr>
          <w:trHeight w:hRule="exact" w:val="230"/>
        </w:trPr>
        <w:tc>
          <w:tcPr>
            <w:tcW w:w="3259" w:type="dxa"/>
            <w:gridSpan w:val="3"/>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100" w:right="-20"/>
              <w:rPr>
                <w:rFonts w:ascii="Times New Roman" w:eastAsia="Times New Roman" w:hAnsi="Times New Roman" w:cs="Times New Roman"/>
                <w:sz w:val="21"/>
                <w:szCs w:val="21"/>
              </w:rPr>
            </w:pPr>
            <w:r w:rsidRPr="001C6D6E">
              <w:rPr>
                <w:rFonts w:ascii="Times New Roman" w:hAnsi="Times New Roman" w:cs="Times New Roman"/>
                <w:w w:val="103"/>
                <w:sz w:val="21"/>
                <w:szCs w:val="21"/>
              </w:rPr>
              <w:t>Seminar paper(s)</w:t>
            </w:r>
          </w:p>
        </w:tc>
        <w:tc>
          <w:tcPr>
            <w:tcW w:w="1334" w:type="dxa"/>
            <w:gridSpan w:val="2"/>
            <w:tcBorders>
              <w:top w:val="single" w:sz="4" w:space="0" w:color="000000"/>
              <w:left w:val="single" w:sz="4" w:space="0" w:color="000000"/>
              <w:bottom w:val="single" w:sz="4" w:space="0" w:color="000000"/>
              <w:right w:val="single" w:sz="4" w:space="0" w:color="000000"/>
            </w:tcBorders>
          </w:tcPr>
          <w:p w:rsidR="00324E30" w:rsidRPr="001C6D6E" w:rsidRDefault="00BD1D34">
            <w:pPr>
              <w:spacing w:after="0" w:line="213" w:lineRule="exact"/>
              <w:ind w:left="436" w:right="-20"/>
              <w:rPr>
                <w:rFonts w:ascii="Times New Roman" w:eastAsia="Times New Roman" w:hAnsi="Times New Roman" w:cs="Times New Roman"/>
                <w:sz w:val="21"/>
                <w:szCs w:val="21"/>
              </w:rPr>
            </w:pPr>
            <w:r w:rsidRPr="001C6D6E">
              <w:rPr>
                <w:rFonts w:ascii="Times New Roman" w:hAnsi="Times New Roman" w:cs="Times New Roman"/>
                <w:w w:val="103"/>
                <w:sz w:val="21"/>
                <w:szCs w:val="21"/>
              </w:rPr>
              <w:t>10</w:t>
            </w:r>
          </w:p>
        </w:tc>
        <w:tc>
          <w:tcPr>
            <w:tcW w:w="3043" w:type="dxa"/>
            <w:gridSpan w:val="2"/>
            <w:tcBorders>
              <w:top w:val="single" w:sz="4" w:space="0" w:color="000000"/>
              <w:left w:val="single" w:sz="4" w:space="0" w:color="000000"/>
              <w:bottom w:val="single" w:sz="4" w:space="0" w:color="000000"/>
              <w:right w:val="single" w:sz="4" w:space="0" w:color="000000"/>
            </w:tcBorders>
          </w:tcPr>
          <w:p w:rsidR="00324E30" w:rsidRPr="001C6D6E" w:rsidRDefault="00324E30">
            <w:pPr>
              <w:rPr>
                <w:rFonts w:ascii="Times New Roman" w:hAnsi="Times New Roman" w:cs="Times New Roman"/>
                <w:sz w:val="21"/>
                <w:szCs w:val="21"/>
              </w:rPr>
            </w:pPr>
          </w:p>
        </w:tc>
        <w:tc>
          <w:tcPr>
            <w:tcW w:w="1229" w:type="dxa"/>
            <w:tcBorders>
              <w:top w:val="single" w:sz="4" w:space="0" w:color="000000"/>
              <w:left w:val="single" w:sz="4" w:space="0" w:color="000000"/>
              <w:bottom w:val="single" w:sz="4" w:space="0" w:color="000000"/>
              <w:right w:val="single" w:sz="4" w:space="0" w:color="000000"/>
            </w:tcBorders>
          </w:tcPr>
          <w:p w:rsidR="00324E30" w:rsidRPr="001C6D6E" w:rsidRDefault="00324E30">
            <w:pPr>
              <w:rPr>
                <w:rFonts w:ascii="Times New Roman" w:hAnsi="Times New Roman" w:cs="Times New Roman"/>
                <w:sz w:val="21"/>
                <w:szCs w:val="21"/>
              </w:rPr>
            </w:pPr>
          </w:p>
        </w:tc>
      </w:tr>
    </w:tbl>
    <w:p w:rsidR="00BD1D34" w:rsidRDefault="00BD1D34"/>
    <w:sectPr w:rsidR="00BD1D34" w:rsidSect="00324E30">
      <w:type w:val="continuous"/>
      <w:pgSz w:w="11900" w:h="16840"/>
      <w:pgMar w:top="1580" w:right="128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324E30"/>
    <w:rsid w:val="001C6D6E"/>
    <w:rsid w:val="00324E30"/>
    <w:rsid w:val="00385C90"/>
    <w:rsid w:val="005114ED"/>
    <w:rsid w:val="00BD1D34"/>
    <w:rsid w:val="00DF357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667</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Natasa</cp:lastModifiedBy>
  <cp:revision>3</cp:revision>
  <dcterms:created xsi:type="dcterms:W3CDTF">2016-05-04T21:26:00Z</dcterms:created>
  <dcterms:modified xsi:type="dcterms:W3CDTF">2016-05-05T12:31:00Z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2016-05-04T00:00:00Z</vt:filetime>
  </property>
</Properties>
</file>