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ABF" w:rsidRDefault="00C74ABF">
      <w:pPr>
        <w:spacing w:after="0" w:line="200" w:lineRule="exact"/>
        <w:rPr>
          <w:sz w:val="20"/>
          <w:szCs w:val="20"/>
        </w:rPr>
      </w:pPr>
    </w:p>
    <w:p w:rsidR="00C74ABF" w:rsidRDefault="00C74ABF">
      <w:pPr>
        <w:spacing w:after="0" w:line="200" w:lineRule="exact"/>
        <w:rPr>
          <w:sz w:val="20"/>
          <w:szCs w:val="20"/>
        </w:rPr>
      </w:pPr>
    </w:p>
    <w:p w:rsidR="00C74ABF" w:rsidRDefault="00C74ABF">
      <w:pPr>
        <w:spacing w:after="0" w:line="200" w:lineRule="exact"/>
        <w:rPr>
          <w:sz w:val="20"/>
          <w:szCs w:val="20"/>
        </w:rPr>
      </w:pPr>
    </w:p>
    <w:p w:rsidR="00C74ABF" w:rsidRDefault="00C74ABF">
      <w:pPr>
        <w:spacing w:after="0" w:line="200" w:lineRule="exact"/>
        <w:rPr>
          <w:sz w:val="20"/>
          <w:szCs w:val="20"/>
        </w:rPr>
      </w:pPr>
    </w:p>
    <w:p w:rsidR="00C74ABF" w:rsidRDefault="00C74ABF">
      <w:pPr>
        <w:spacing w:after="0" w:line="200" w:lineRule="exact"/>
        <w:rPr>
          <w:sz w:val="20"/>
          <w:szCs w:val="20"/>
        </w:rPr>
      </w:pPr>
    </w:p>
    <w:p w:rsidR="00C74ABF" w:rsidRDefault="00C74ABF">
      <w:pPr>
        <w:spacing w:before="18" w:after="0" w:line="220" w:lineRule="exact"/>
      </w:pPr>
    </w:p>
    <w:tbl>
      <w:tblPr>
        <w:tblW w:w="0" w:type="auto"/>
        <w:tblInd w:w="95" w:type="dxa"/>
        <w:tblLayout w:type="fixed"/>
        <w:tblCellMar>
          <w:left w:w="0" w:type="dxa"/>
          <w:right w:w="0" w:type="dxa"/>
        </w:tblCellMar>
        <w:tblLook w:val="01E0"/>
      </w:tblPr>
      <w:tblGrid>
        <w:gridCol w:w="1339"/>
        <w:gridCol w:w="984"/>
        <w:gridCol w:w="1224"/>
        <w:gridCol w:w="413"/>
        <w:gridCol w:w="1065"/>
        <w:gridCol w:w="2319"/>
        <w:gridCol w:w="235"/>
        <w:gridCol w:w="1042"/>
      </w:tblGrid>
      <w:tr w:rsidR="00C74ABF">
        <w:trPr>
          <w:trHeight w:hRule="exact" w:val="259"/>
        </w:trPr>
        <w:tc>
          <w:tcPr>
            <w:tcW w:w="8621" w:type="dxa"/>
            <w:gridSpan w:val="8"/>
            <w:tcBorders>
              <w:top w:val="single" w:sz="4" w:space="0" w:color="000000"/>
              <w:left w:val="single" w:sz="4" w:space="0" w:color="000000"/>
              <w:bottom w:val="single" w:sz="4" w:space="0" w:color="000000"/>
              <w:right w:val="single" w:sz="4" w:space="0" w:color="000000"/>
            </w:tcBorders>
          </w:tcPr>
          <w:p w:rsidR="00C74ABF" w:rsidRDefault="001E692F">
            <w:pPr>
              <w:spacing w:after="0" w:line="236" w:lineRule="exact"/>
              <w:ind w:left="100" w:right="-20"/>
              <w:rPr>
                <w:rFonts w:ascii="Times New Roman" w:eastAsia="Times New Roman" w:hAnsi="Times New Roman" w:cs="Times New Roman"/>
                <w:sz w:val="21"/>
                <w:szCs w:val="21"/>
              </w:rPr>
            </w:pPr>
            <w:r>
              <w:rPr>
                <w:rFonts w:ascii="Times New Roman" w:hAnsi="Times New Roman"/>
                <w:b/>
                <w:sz w:val="21"/>
              </w:rPr>
              <w:t xml:space="preserve">Studying program/programs: </w:t>
            </w:r>
            <w:r>
              <w:rPr>
                <w:rFonts w:ascii="Times New Roman" w:hAnsi="Times New Roman"/>
                <w:sz w:val="21"/>
              </w:rPr>
              <w:t>Banking and Finance</w:t>
            </w:r>
          </w:p>
        </w:tc>
      </w:tr>
      <w:tr w:rsidR="00C74ABF">
        <w:trPr>
          <w:trHeight w:hRule="exact" w:val="254"/>
        </w:trPr>
        <w:tc>
          <w:tcPr>
            <w:tcW w:w="8621" w:type="dxa"/>
            <w:gridSpan w:val="8"/>
            <w:tcBorders>
              <w:top w:val="single" w:sz="4" w:space="0" w:color="000000"/>
              <w:left w:val="single" w:sz="4" w:space="0" w:color="000000"/>
              <w:bottom w:val="single" w:sz="4" w:space="0" w:color="000000"/>
              <w:right w:val="single" w:sz="4" w:space="0" w:color="000000"/>
            </w:tcBorders>
          </w:tcPr>
          <w:p w:rsidR="00C74ABF" w:rsidRDefault="001E692F">
            <w:pPr>
              <w:spacing w:after="0" w:line="232" w:lineRule="exact"/>
              <w:ind w:left="100" w:right="-20"/>
              <w:rPr>
                <w:rFonts w:ascii="Times New Roman" w:eastAsia="Times New Roman" w:hAnsi="Times New Roman" w:cs="Times New Roman"/>
                <w:sz w:val="21"/>
                <w:szCs w:val="21"/>
              </w:rPr>
            </w:pPr>
            <w:r>
              <w:rPr>
                <w:rFonts w:ascii="Times New Roman" w:hAnsi="Times New Roman"/>
                <w:b/>
                <w:sz w:val="21"/>
              </w:rPr>
              <w:t xml:space="preserve">Type and level of studies: </w:t>
            </w:r>
            <w:r w:rsidR="00AE4B00">
              <w:rPr>
                <w:rFonts w:ascii="Times New Roman" w:hAnsi="Times New Roman"/>
                <w:sz w:val="21"/>
              </w:rPr>
              <w:t>G</w:t>
            </w:r>
            <w:r>
              <w:rPr>
                <w:rFonts w:ascii="Times New Roman" w:hAnsi="Times New Roman"/>
                <w:sz w:val="21"/>
              </w:rPr>
              <w:t>raduate academic, joint program</w:t>
            </w:r>
          </w:p>
        </w:tc>
      </w:tr>
      <w:tr w:rsidR="00C74ABF">
        <w:trPr>
          <w:trHeight w:hRule="exact" w:val="254"/>
        </w:trPr>
        <w:tc>
          <w:tcPr>
            <w:tcW w:w="8621" w:type="dxa"/>
            <w:gridSpan w:val="8"/>
            <w:tcBorders>
              <w:top w:val="single" w:sz="4" w:space="0" w:color="000000"/>
              <w:left w:val="single" w:sz="4" w:space="0" w:color="000000"/>
              <w:bottom w:val="single" w:sz="4" w:space="0" w:color="000000"/>
              <w:right w:val="single" w:sz="4" w:space="0" w:color="000000"/>
            </w:tcBorders>
          </w:tcPr>
          <w:p w:rsidR="00C74ABF" w:rsidRDefault="001E692F">
            <w:pPr>
              <w:spacing w:after="0" w:line="236" w:lineRule="exact"/>
              <w:ind w:left="100" w:right="-20"/>
              <w:rPr>
                <w:rFonts w:ascii="Times New Roman" w:eastAsia="Times New Roman" w:hAnsi="Times New Roman" w:cs="Times New Roman"/>
                <w:sz w:val="21"/>
                <w:szCs w:val="21"/>
              </w:rPr>
            </w:pPr>
            <w:r>
              <w:rPr>
                <w:rFonts w:ascii="Times New Roman" w:hAnsi="Times New Roman"/>
                <w:b/>
                <w:sz w:val="21"/>
              </w:rPr>
              <w:t xml:space="preserve">Course title: </w:t>
            </w:r>
            <w:r>
              <w:rPr>
                <w:rFonts w:ascii="Times New Roman" w:hAnsi="Times New Roman"/>
                <w:sz w:val="21"/>
              </w:rPr>
              <w:t>European Monetary and Financial Law</w:t>
            </w:r>
          </w:p>
        </w:tc>
      </w:tr>
      <w:tr w:rsidR="00C74ABF">
        <w:trPr>
          <w:trHeight w:hRule="exact" w:val="254"/>
        </w:trPr>
        <w:tc>
          <w:tcPr>
            <w:tcW w:w="8621" w:type="dxa"/>
            <w:gridSpan w:val="8"/>
            <w:tcBorders>
              <w:top w:val="single" w:sz="4" w:space="0" w:color="000000"/>
              <w:left w:val="single" w:sz="4" w:space="0" w:color="000000"/>
              <w:bottom w:val="single" w:sz="4" w:space="0" w:color="000000"/>
              <w:right w:val="single" w:sz="4" w:space="0" w:color="000000"/>
            </w:tcBorders>
          </w:tcPr>
          <w:p w:rsidR="00C74ABF" w:rsidRDefault="001E692F">
            <w:pPr>
              <w:spacing w:after="0" w:line="236" w:lineRule="exact"/>
              <w:ind w:left="100" w:right="-20"/>
              <w:rPr>
                <w:rFonts w:ascii="Times New Roman" w:eastAsia="Times New Roman" w:hAnsi="Times New Roman" w:cs="Times New Roman"/>
                <w:sz w:val="21"/>
                <w:szCs w:val="21"/>
              </w:rPr>
            </w:pPr>
            <w:r>
              <w:rPr>
                <w:rFonts w:ascii="Times New Roman" w:hAnsi="Times New Roman"/>
                <w:b/>
                <w:sz w:val="21"/>
              </w:rPr>
              <w:t xml:space="preserve">Course status: </w:t>
            </w:r>
            <w:r>
              <w:rPr>
                <w:rFonts w:ascii="Times New Roman" w:hAnsi="Times New Roman"/>
                <w:sz w:val="21"/>
              </w:rPr>
              <w:t>elective</w:t>
            </w:r>
          </w:p>
        </w:tc>
      </w:tr>
      <w:tr w:rsidR="00C74ABF">
        <w:trPr>
          <w:trHeight w:hRule="exact" w:val="259"/>
        </w:trPr>
        <w:tc>
          <w:tcPr>
            <w:tcW w:w="8621" w:type="dxa"/>
            <w:gridSpan w:val="8"/>
            <w:tcBorders>
              <w:top w:val="single" w:sz="4" w:space="0" w:color="000000"/>
              <w:left w:val="single" w:sz="4" w:space="0" w:color="000000"/>
              <w:bottom w:val="single" w:sz="4" w:space="0" w:color="000000"/>
              <w:right w:val="single" w:sz="4" w:space="0" w:color="000000"/>
            </w:tcBorders>
          </w:tcPr>
          <w:p w:rsidR="00C74ABF" w:rsidRDefault="001E692F">
            <w:pPr>
              <w:spacing w:after="0" w:line="236" w:lineRule="exact"/>
              <w:ind w:left="100" w:right="-20"/>
              <w:rPr>
                <w:rFonts w:ascii="Times New Roman" w:eastAsia="Times New Roman" w:hAnsi="Times New Roman" w:cs="Times New Roman"/>
                <w:sz w:val="21"/>
                <w:szCs w:val="21"/>
              </w:rPr>
            </w:pPr>
            <w:r>
              <w:rPr>
                <w:rFonts w:ascii="Times New Roman" w:hAnsi="Times New Roman"/>
                <w:b/>
                <w:sz w:val="21"/>
              </w:rPr>
              <w:t xml:space="preserve">Numbers of ECTS: </w:t>
            </w:r>
            <w:r>
              <w:rPr>
                <w:rFonts w:ascii="Times New Roman" w:hAnsi="Times New Roman"/>
                <w:w w:val="102"/>
                <w:sz w:val="21"/>
              </w:rPr>
              <w:t>6</w:t>
            </w:r>
          </w:p>
        </w:tc>
      </w:tr>
      <w:tr w:rsidR="00C74ABF">
        <w:trPr>
          <w:trHeight w:hRule="exact" w:val="322"/>
        </w:trPr>
        <w:tc>
          <w:tcPr>
            <w:tcW w:w="8621" w:type="dxa"/>
            <w:gridSpan w:val="8"/>
            <w:tcBorders>
              <w:top w:val="single" w:sz="4" w:space="0" w:color="000000"/>
              <w:left w:val="single" w:sz="4" w:space="0" w:color="000000"/>
              <w:bottom w:val="single" w:sz="4" w:space="0" w:color="000000"/>
              <w:right w:val="single" w:sz="4" w:space="0" w:color="000000"/>
            </w:tcBorders>
          </w:tcPr>
          <w:p w:rsidR="00C74ABF" w:rsidRDefault="001E692F">
            <w:pPr>
              <w:spacing w:after="0" w:line="236" w:lineRule="exact"/>
              <w:ind w:left="100" w:right="-20"/>
              <w:rPr>
                <w:rFonts w:ascii="Times New Roman" w:eastAsia="Times New Roman" w:hAnsi="Times New Roman" w:cs="Times New Roman"/>
                <w:sz w:val="21"/>
                <w:szCs w:val="21"/>
              </w:rPr>
            </w:pPr>
            <w:r>
              <w:rPr>
                <w:rFonts w:ascii="Times New Roman" w:hAnsi="Times New Roman"/>
                <w:b/>
                <w:sz w:val="21"/>
              </w:rPr>
              <w:t xml:space="preserve">Condition: </w:t>
            </w:r>
            <w:r>
              <w:rPr>
                <w:rFonts w:ascii="Times New Roman" w:hAnsi="Times New Roman"/>
                <w:sz w:val="21"/>
              </w:rPr>
              <w:t>Basic knowledge of macroeconomic theories well as of European policy and politics issues.</w:t>
            </w:r>
          </w:p>
        </w:tc>
      </w:tr>
      <w:tr w:rsidR="00C74ABF">
        <w:trPr>
          <w:trHeight w:hRule="exact" w:val="1051"/>
        </w:trPr>
        <w:tc>
          <w:tcPr>
            <w:tcW w:w="8621" w:type="dxa"/>
            <w:gridSpan w:val="8"/>
            <w:tcBorders>
              <w:top w:val="single" w:sz="4" w:space="0" w:color="000000"/>
              <w:left w:val="single" w:sz="4" w:space="0" w:color="000000"/>
              <w:bottom w:val="single" w:sz="4" w:space="0" w:color="000000"/>
              <w:right w:val="single" w:sz="4" w:space="0" w:color="000000"/>
            </w:tcBorders>
          </w:tcPr>
          <w:p w:rsidR="00C74ABF" w:rsidRDefault="001E692F">
            <w:pPr>
              <w:spacing w:after="0" w:line="241" w:lineRule="exact"/>
              <w:ind w:left="100" w:right="-20"/>
              <w:rPr>
                <w:rFonts w:ascii="Times New Roman" w:eastAsia="Times New Roman" w:hAnsi="Times New Roman" w:cs="Times New Roman"/>
                <w:sz w:val="21"/>
                <w:szCs w:val="21"/>
              </w:rPr>
            </w:pPr>
            <w:r>
              <w:rPr>
                <w:rFonts w:ascii="Times New Roman" w:hAnsi="Times New Roman"/>
                <w:b/>
                <w:sz w:val="21"/>
              </w:rPr>
              <w:t>Course  objective:</w:t>
            </w:r>
          </w:p>
          <w:p w:rsidR="00C74ABF" w:rsidRDefault="001E692F" w:rsidP="00AE4B00">
            <w:pPr>
              <w:spacing w:after="0" w:line="240" w:lineRule="exact"/>
              <w:ind w:left="100" w:right="-20"/>
              <w:rPr>
                <w:rFonts w:ascii="Times New Roman" w:eastAsia="Times New Roman" w:hAnsi="Times New Roman" w:cs="Times New Roman"/>
                <w:sz w:val="21"/>
                <w:szCs w:val="21"/>
              </w:rPr>
            </w:pPr>
            <w:r>
              <w:rPr>
                <w:rFonts w:ascii="Times New Roman" w:hAnsi="Times New Roman"/>
                <w:sz w:val="21"/>
              </w:rPr>
              <w:t>The general objective of the course is to provide a thorough training in the European regulatory framework about</w:t>
            </w:r>
            <w:r w:rsidR="00AE4B00">
              <w:rPr>
                <w:rFonts w:ascii="Times New Roman" w:hAnsi="Times New Roman"/>
                <w:sz w:val="21"/>
              </w:rPr>
              <w:t xml:space="preserve"> </w:t>
            </w:r>
            <w:r>
              <w:rPr>
                <w:rFonts w:ascii="Times New Roman" w:hAnsi="Times New Roman"/>
                <w:sz w:val="21"/>
              </w:rPr>
              <w:t>monetary policy and financial services. We intend to stimulate the critical use of scientific analyses required for futurepositions in the financial sectoras academics, economists, financial analysts, or other.</w:t>
            </w:r>
          </w:p>
        </w:tc>
      </w:tr>
      <w:tr w:rsidR="00C74ABF">
        <w:trPr>
          <w:trHeight w:hRule="exact" w:val="754"/>
        </w:trPr>
        <w:tc>
          <w:tcPr>
            <w:tcW w:w="8621" w:type="dxa"/>
            <w:gridSpan w:val="8"/>
            <w:tcBorders>
              <w:top w:val="single" w:sz="4" w:space="0" w:color="000000"/>
              <w:left w:val="single" w:sz="4" w:space="0" w:color="000000"/>
              <w:bottom w:val="single" w:sz="4" w:space="0" w:color="000000"/>
              <w:right w:val="single" w:sz="4" w:space="0" w:color="000000"/>
            </w:tcBorders>
          </w:tcPr>
          <w:p w:rsidR="00C74ABF" w:rsidRDefault="001E692F">
            <w:pPr>
              <w:spacing w:after="0" w:line="241" w:lineRule="exact"/>
              <w:ind w:left="100" w:right="-20"/>
              <w:rPr>
                <w:rFonts w:ascii="Times New Roman" w:eastAsia="Times New Roman" w:hAnsi="Times New Roman" w:cs="Times New Roman"/>
                <w:sz w:val="21"/>
                <w:szCs w:val="21"/>
              </w:rPr>
            </w:pPr>
            <w:r>
              <w:rPr>
                <w:rFonts w:ascii="Times New Roman" w:hAnsi="Times New Roman"/>
                <w:b/>
                <w:sz w:val="21"/>
              </w:rPr>
              <w:t>Course outcome:</w:t>
            </w:r>
          </w:p>
          <w:p w:rsidR="00C74ABF" w:rsidRDefault="001E692F">
            <w:pPr>
              <w:spacing w:after="0" w:line="240" w:lineRule="exact"/>
              <w:ind w:left="100" w:right="-20"/>
              <w:rPr>
                <w:rFonts w:ascii="Times New Roman" w:eastAsia="Times New Roman" w:hAnsi="Times New Roman" w:cs="Times New Roman"/>
                <w:sz w:val="21"/>
                <w:szCs w:val="21"/>
              </w:rPr>
            </w:pPr>
            <w:r>
              <w:rPr>
                <w:rFonts w:ascii="Times New Roman" w:hAnsi="Times New Roman"/>
                <w:sz w:val="21"/>
              </w:rPr>
              <w:t>This course seeks to provide</w:t>
            </w:r>
            <w:r>
              <w:rPr>
                <w:rFonts w:ascii="Times New Roman" w:hAnsi="Times New Roman"/>
                <w:sz w:val="21"/>
              </w:rPr>
              <w:t xml:space="preserve"> students with an in-depth understanding of the institutional and legal underpinnings</w:t>
            </w:r>
            <w:r w:rsidR="00AE4B00">
              <w:rPr>
                <w:rFonts w:ascii="Times New Roman" w:hAnsi="Times New Roman"/>
                <w:sz w:val="21"/>
              </w:rPr>
              <w:t>.</w:t>
            </w:r>
          </w:p>
          <w:p w:rsidR="00C74ABF" w:rsidRDefault="001E692F">
            <w:pPr>
              <w:spacing w:before="8" w:after="0" w:line="240" w:lineRule="auto"/>
              <w:ind w:left="100" w:right="-20"/>
              <w:rPr>
                <w:rFonts w:ascii="Times New Roman" w:eastAsia="Times New Roman" w:hAnsi="Times New Roman" w:cs="Times New Roman"/>
                <w:sz w:val="21"/>
                <w:szCs w:val="21"/>
              </w:rPr>
            </w:pPr>
            <w:r>
              <w:rPr>
                <w:rFonts w:ascii="Times New Roman" w:hAnsi="Times New Roman"/>
                <w:sz w:val="21"/>
              </w:rPr>
              <w:t>of the European financial sector's regulatory framework.</w:t>
            </w:r>
          </w:p>
        </w:tc>
      </w:tr>
      <w:tr w:rsidR="00C74ABF">
        <w:trPr>
          <w:trHeight w:hRule="exact" w:val="3206"/>
        </w:trPr>
        <w:tc>
          <w:tcPr>
            <w:tcW w:w="8621" w:type="dxa"/>
            <w:gridSpan w:val="8"/>
            <w:tcBorders>
              <w:top w:val="single" w:sz="4" w:space="0" w:color="000000"/>
              <w:left w:val="single" w:sz="4" w:space="0" w:color="000000"/>
              <w:bottom w:val="single" w:sz="4" w:space="0" w:color="000000"/>
              <w:right w:val="single" w:sz="4" w:space="0" w:color="000000"/>
            </w:tcBorders>
          </w:tcPr>
          <w:p w:rsidR="00C74ABF" w:rsidRDefault="001E692F">
            <w:pPr>
              <w:spacing w:after="0" w:line="236" w:lineRule="exact"/>
              <w:ind w:left="100" w:right="6605"/>
              <w:jc w:val="both"/>
              <w:rPr>
                <w:rFonts w:ascii="Times New Roman" w:eastAsia="Times New Roman" w:hAnsi="Times New Roman" w:cs="Times New Roman"/>
                <w:sz w:val="21"/>
                <w:szCs w:val="21"/>
              </w:rPr>
            </w:pPr>
            <w:r>
              <w:rPr>
                <w:rFonts w:ascii="Times New Roman" w:hAnsi="Times New Roman"/>
                <w:b/>
                <w:sz w:val="21"/>
              </w:rPr>
              <w:t>Course content:</w:t>
            </w:r>
          </w:p>
          <w:p w:rsidR="00C74ABF" w:rsidRDefault="001E692F">
            <w:pPr>
              <w:spacing w:after="0" w:line="240" w:lineRule="exact"/>
              <w:ind w:left="100" w:right="2060"/>
              <w:jc w:val="both"/>
              <w:rPr>
                <w:rFonts w:ascii="Times New Roman" w:eastAsia="Times New Roman" w:hAnsi="Times New Roman" w:cs="Times New Roman"/>
                <w:sz w:val="21"/>
                <w:szCs w:val="21"/>
              </w:rPr>
            </w:pPr>
            <w:r>
              <w:rPr>
                <w:rFonts w:ascii="Times New Roman" w:hAnsi="Times New Roman"/>
                <w:sz w:val="21"/>
              </w:rPr>
              <w:t>Central banking and monetary policy in EMU; European banking law and regulation;</w:t>
            </w:r>
          </w:p>
          <w:p w:rsidR="00C74ABF" w:rsidRDefault="001E692F">
            <w:pPr>
              <w:spacing w:before="8" w:after="0" w:line="240" w:lineRule="auto"/>
              <w:ind w:left="100" w:right="232"/>
              <w:jc w:val="both"/>
              <w:rPr>
                <w:rFonts w:ascii="Times New Roman" w:eastAsia="Times New Roman" w:hAnsi="Times New Roman" w:cs="Times New Roman"/>
                <w:sz w:val="21"/>
                <w:szCs w:val="21"/>
              </w:rPr>
            </w:pPr>
            <w:r>
              <w:rPr>
                <w:rFonts w:ascii="Times New Roman" w:hAnsi="Times New Roman"/>
                <w:sz w:val="21"/>
              </w:rPr>
              <w:t>European securities law and regulation; European architecture of regulation, supervision and financial stability.</w:t>
            </w:r>
          </w:p>
          <w:p w:rsidR="00C74ABF" w:rsidRDefault="001E692F">
            <w:pPr>
              <w:spacing w:before="3" w:after="0" w:line="240" w:lineRule="auto"/>
              <w:ind w:left="100" w:right="36"/>
              <w:jc w:val="both"/>
              <w:rPr>
                <w:rFonts w:ascii="Times New Roman" w:eastAsia="Times New Roman" w:hAnsi="Times New Roman" w:cs="Times New Roman"/>
                <w:sz w:val="21"/>
                <w:szCs w:val="21"/>
              </w:rPr>
            </w:pPr>
            <w:r>
              <w:rPr>
                <w:rFonts w:ascii="Times New Roman" w:hAnsi="Times New Roman"/>
                <w:sz w:val="21"/>
              </w:rPr>
              <w:t>In the first part the course covers the structure and function of the European System of Central Banks as well as</w:t>
            </w:r>
          </w:p>
          <w:p w:rsidR="00C74ABF" w:rsidRDefault="001E692F">
            <w:pPr>
              <w:spacing w:before="3" w:after="0" w:line="240" w:lineRule="auto"/>
              <w:ind w:left="100" w:right="4876"/>
              <w:jc w:val="both"/>
              <w:rPr>
                <w:rFonts w:ascii="Times New Roman" w:eastAsia="Times New Roman" w:hAnsi="Times New Roman" w:cs="Times New Roman"/>
                <w:sz w:val="21"/>
                <w:szCs w:val="21"/>
              </w:rPr>
            </w:pPr>
            <w:r>
              <w:rPr>
                <w:rFonts w:ascii="Times New Roman" w:hAnsi="Times New Roman"/>
                <w:sz w:val="21"/>
              </w:rPr>
              <w:t>European Central Bank’s poli</w:t>
            </w:r>
            <w:r>
              <w:rPr>
                <w:rFonts w:ascii="Times New Roman" w:hAnsi="Times New Roman"/>
                <w:sz w:val="21"/>
              </w:rPr>
              <w:t>cies and activities.</w:t>
            </w:r>
          </w:p>
          <w:p w:rsidR="00C74ABF" w:rsidRDefault="001E692F">
            <w:pPr>
              <w:spacing w:before="3" w:after="0" w:line="245" w:lineRule="auto"/>
              <w:ind w:left="100" w:right="28"/>
              <w:jc w:val="both"/>
              <w:rPr>
                <w:rFonts w:ascii="Times New Roman" w:eastAsia="Times New Roman" w:hAnsi="Times New Roman" w:cs="Times New Roman"/>
                <w:sz w:val="21"/>
                <w:szCs w:val="21"/>
              </w:rPr>
            </w:pPr>
            <w:r>
              <w:rPr>
                <w:rFonts w:ascii="Times New Roman" w:hAnsi="Times New Roman"/>
                <w:sz w:val="21"/>
              </w:rPr>
              <w:t>We identify the instruments of monetary policy available to influence the money market and determine interest rates  and examine policy decision  making. In addition to examining the EC Treaty provisions  on central banking, monetary p</w:t>
            </w:r>
            <w:r>
              <w:rPr>
                <w:rFonts w:ascii="Times New Roman" w:hAnsi="Times New Roman"/>
                <w:sz w:val="21"/>
              </w:rPr>
              <w:t>olicy, freedom of movement of financial service providers, in the second part emphasis is being put on the secondary Community legislation in the fields of banking and capital markets in the context of the European financial integration process.</w:t>
            </w:r>
          </w:p>
          <w:p w:rsidR="00C74ABF" w:rsidRDefault="001E692F">
            <w:pPr>
              <w:spacing w:after="0" w:line="239" w:lineRule="exact"/>
              <w:ind w:left="100" w:right="45"/>
              <w:jc w:val="both"/>
              <w:rPr>
                <w:rFonts w:ascii="Times New Roman" w:eastAsia="Times New Roman" w:hAnsi="Times New Roman" w:cs="Times New Roman"/>
                <w:sz w:val="21"/>
                <w:szCs w:val="21"/>
              </w:rPr>
            </w:pPr>
            <w:r>
              <w:rPr>
                <w:rFonts w:ascii="Times New Roman" w:hAnsi="Times New Roman"/>
                <w:sz w:val="21"/>
              </w:rPr>
              <w:t>The course will involve a comprehensive analysis of the current situation of banking and  capital markets</w:t>
            </w:r>
          </w:p>
          <w:p w:rsidR="00C74ABF" w:rsidRDefault="001E692F">
            <w:pPr>
              <w:spacing w:before="3" w:after="0" w:line="248" w:lineRule="auto"/>
              <w:ind w:left="100" w:right="28"/>
              <w:rPr>
                <w:rFonts w:ascii="Times New Roman" w:eastAsia="Times New Roman" w:hAnsi="Times New Roman" w:cs="Times New Roman"/>
                <w:sz w:val="21"/>
                <w:szCs w:val="21"/>
              </w:rPr>
            </w:pPr>
            <w:r>
              <w:rPr>
                <w:rFonts w:ascii="Times New Roman" w:hAnsi="Times New Roman"/>
                <w:sz w:val="21"/>
              </w:rPr>
              <w:t>supervision (Basel II, MiFID, SEPA etc).Finally the issues with regard to the European financial architecture are addressed separately.</w:t>
            </w:r>
          </w:p>
        </w:tc>
      </w:tr>
      <w:tr w:rsidR="00C74ABF">
        <w:trPr>
          <w:trHeight w:hRule="exact" w:val="1843"/>
        </w:trPr>
        <w:tc>
          <w:tcPr>
            <w:tcW w:w="8621" w:type="dxa"/>
            <w:gridSpan w:val="8"/>
            <w:tcBorders>
              <w:top w:val="single" w:sz="4" w:space="0" w:color="000000"/>
              <w:left w:val="single" w:sz="4" w:space="0" w:color="000000"/>
              <w:bottom w:val="single" w:sz="4" w:space="0" w:color="000000"/>
              <w:right w:val="single" w:sz="4" w:space="0" w:color="000000"/>
            </w:tcBorders>
          </w:tcPr>
          <w:p w:rsidR="00C74ABF" w:rsidRDefault="001E692F">
            <w:pPr>
              <w:spacing w:after="0" w:line="241" w:lineRule="exact"/>
              <w:ind w:left="100" w:right="-20"/>
              <w:rPr>
                <w:rFonts w:ascii="Times New Roman" w:eastAsia="Times New Roman" w:hAnsi="Times New Roman" w:cs="Times New Roman"/>
                <w:sz w:val="21"/>
                <w:szCs w:val="21"/>
              </w:rPr>
            </w:pPr>
            <w:r>
              <w:rPr>
                <w:rFonts w:ascii="Times New Roman" w:hAnsi="Times New Roman"/>
                <w:b/>
                <w:w w:val="102"/>
                <w:sz w:val="21"/>
              </w:rPr>
              <w:t>Literature:</w:t>
            </w:r>
          </w:p>
          <w:p w:rsidR="00C74ABF" w:rsidRDefault="001E692F" w:rsidP="00AE4B00">
            <w:pPr>
              <w:tabs>
                <w:tab w:val="left" w:pos="440"/>
              </w:tabs>
              <w:spacing w:before="2" w:after="0" w:line="240" w:lineRule="auto"/>
              <w:ind w:left="100" w:right="-20"/>
              <w:rPr>
                <w:rFonts w:ascii="Times New Roman" w:eastAsia="Times New Roman" w:hAnsi="Times New Roman" w:cs="Times New Roman"/>
                <w:sz w:val="19"/>
                <w:szCs w:val="19"/>
              </w:rPr>
            </w:pPr>
            <w:r>
              <w:rPr>
                <w:rFonts w:ascii="Times New Roman" w:hAnsi="Times New Roman"/>
                <w:sz w:val="19"/>
              </w:rPr>
              <w:t>1</w:t>
            </w:r>
            <w:r>
              <w:rPr>
                <w:rFonts w:ascii="Times New Roman" w:hAnsi="Times New Roman"/>
                <w:sz w:val="19"/>
              </w:rPr>
              <w:t xml:space="preserve">. </w:t>
            </w:r>
            <w:r>
              <w:tab/>
            </w:r>
            <w:r>
              <w:rPr>
                <w:rFonts w:ascii="Times New Roman" w:hAnsi="Times New Roman"/>
                <w:sz w:val="19"/>
              </w:rPr>
              <w:t xml:space="preserve">Smits, R. (1997): </w:t>
            </w:r>
            <w:r>
              <w:rPr>
                <w:rFonts w:ascii="Times New Roman" w:hAnsi="Times New Roman"/>
                <w:i/>
                <w:sz w:val="19"/>
              </w:rPr>
              <w:t>The European Central Bank. Institutional Aspects</w:t>
            </w:r>
            <w:r>
              <w:rPr>
                <w:rFonts w:ascii="Times New Roman" w:hAnsi="Times New Roman"/>
                <w:sz w:val="19"/>
              </w:rPr>
              <w:t>, The Hague / London / Boston: Kluwer Law</w:t>
            </w:r>
            <w:r w:rsidR="00AE4B00">
              <w:rPr>
                <w:rFonts w:ascii="Times New Roman" w:hAnsi="Times New Roman"/>
                <w:sz w:val="19"/>
              </w:rPr>
              <w:t xml:space="preserve"> </w:t>
            </w:r>
            <w:r>
              <w:rPr>
                <w:rFonts w:ascii="Times New Roman" w:hAnsi="Times New Roman"/>
                <w:w w:val="103"/>
                <w:sz w:val="19"/>
              </w:rPr>
              <w:t>International.</w:t>
            </w:r>
          </w:p>
          <w:p w:rsidR="00C74ABF" w:rsidRDefault="001E692F" w:rsidP="00AE4B00">
            <w:pPr>
              <w:tabs>
                <w:tab w:val="left" w:pos="440"/>
              </w:tabs>
              <w:spacing w:before="2" w:after="0" w:line="240" w:lineRule="auto"/>
              <w:ind w:left="100" w:right="-20"/>
              <w:rPr>
                <w:rFonts w:ascii="Times New Roman" w:eastAsia="Times New Roman" w:hAnsi="Times New Roman" w:cs="Times New Roman"/>
                <w:sz w:val="19"/>
                <w:szCs w:val="19"/>
              </w:rPr>
            </w:pPr>
            <w:r>
              <w:rPr>
                <w:rFonts w:ascii="Times New Roman" w:hAnsi="Times New Roman"/>
                <w:sz w:val="19"/>
              </w:rPr>
              <w:t xml:space="preserve">2. </w:t>
            </w:r>
            <w:r>
              <w:tab/>
            </w:r>
            <w:r>
              <w:rPr>
                <w:rFonts w:ascii="Times New Roman" w:hAnsi="Times New Roman"/>
                <w:sz w:val="19"/>
              </w:rPr>
              <w:t>Hadjiemmanuil, Ch. (2006): “Economic Monetary Union” in Chalmers, D., Hadjiemmanuil, Ch., Monti, G. and A.</w:t>
            </w:r>
            <w:r w:rsidR="00AE4B00">
              <w:rPr>
                <w:rFonts w:ascii="Times New Roman" w:hAnsi="Times New Roman"/>
                <w:sz w:val="19"/>
              </w:rPr>
              <w:t xml:space="preserve"> </w:t>
            </w:r>
            <w:r>
              <w:rPr>
                <w:rFonts w:ascii="Times New Roman" w:hAnsi="Times New Roman"/>
                <w:w w:val="103"/>
                <w:sz w:val="19"/>
              </w:rPr>
              <w:t xml:space="preserve">Tomkins (eds): </w:t>
            </w:r>
            <w:r>
              <w:rPr>
                <w:rFonts w:ascii="Times New Roman" w:hAnsi="Times New Roman"/>
                <w:i/>
                <w:w w:val="103"/>
                <w:sz w:val="19"/>
              </w:rPr>
              <w:t>European Union Law</w:t>
            </w:r>
            <w:r>
              <w:rPr>
                <w:rFonts w:ascii="Times New Roman" w:hAnsi="Times New Roman"/>
                <w:w w:val="103"/>
                <w:sz w:val="19"/>
              </w:rPr>
              <w:t>, UK:Cambridge University Press.</w:t>
            </w:r>
          </w:p>
          <w:p w:rsidR="00C74ABF" w:rsidRDefault="001E692F" w:rsidP="00AE4B00">
            <w:pPr>
              <w:tabs>
                <w:tab w:val="left" w:pos="440"/>
              </w:tabs>
              <w:spacing w:before="7" w:after="0" w:line="240" w:lineRule="auto"/>
              <w:ind w:left="100" w:right="-20"/>
              <w:rPr>
                <w:rFonts w:ascii="Times New Roman" w:eastAsia="Times New Roman" w:hAnsi="Times New Roman" w:cs="Times New Roman"/>
                <w:sz w:val="19"/>
                <w:szCs w:val="19"/>
              </w:rPr>
            </w:pPr>
            <w:r>
              <w:rPr>
                <w:rFonts w:ascii="Times New Roman" w:hAnsi="Times New Roman"/>
                <w:sz w:val="19"/>
              </w:rPr>
              <w:t xml:space="preserve">3. </w:t>
            </w:r>
            <w:r>
              <w:tab/>
            </w:r>
            <w:r>
              <w:rPr>
                <w:rFonts w:ascii="Times New Roman" w:hAnsi="Times New Roman"/>
                <w:sz w:val="19"/>
              </w:rPr>
              <w:t>Hadjiemmanuil, Ch. (2006): “Economic Monetary Union” in Chalmers, D., Hadjiemmanuil, Ch., Monti, G. and A. Tomkins</w:t>
            </w:r>
            <w:r w:rsidR="00AE4B00">
              <w:rPr>
                <w:rFonts w:ascii="Times New Roman" w:hAnsi="Times New Roman"/>
                <w:sz w:val="19"/>
              </w:rPr>
              <w:t xml:space="preserve"> </w:t>
            </w:r>
            <w:r>
              <w:rPr>
                <w:rFonts w:ascii="Times New Roman" w:hAnsi="Times New Roman"/>
                <w:sz w:val="19"/>
              </w:rPr>
              <w:t xml:space="preserve">(eds): </w:t>
            </w:r>
            <w:r>
              <w:rPr>
                <w:rFonts w:ascii="Times New Roman" w:hAnsi="Times New Roman"/>
                <w:i/>
                <w:sz w:val="19"/>
              </w:rPr>
              <w:t>European Union Law</w:t>
            </w:r>
            <w:r>
              <w:rPr>
                <w:rFonts w:ascii="Times New Roman" w:hAnsi="Times New Roman"/>
                <w:sz w:val="19"/>
              </w:rPr>
              <w:t>, UK:Cambridge University Press.</w:t>
            </w:r>
          </w:p>
          <w:p w:rsidR="00C74ABF" w:rsidRDefault="001E692F">
            <w:pPr>
              <w:spacing w:before="7" w:after="0" w:line="240" w:lineRule="auto"/>
              <w:ind w:left="100" w:right="-20"/>
              <w:rPr>
                <w:rFonts w:ascii="Times New Roman" w:eastAsia="Times New Roman" w:hAnsi="Times New Roman" w:cs="Times New Roman"/>
                <w:sz w:val="19"/>
                <w:szCs w:val="19"/>
              </w:rPr>
            </w:pPr>
            <w:r>
              <w:rPr>
                <w:rFonts w:ascii="Times New Roman" w:hAnsi="Times New Roman"/>
                <w:sz w:val="21"/>
              </w:rPr>
              <w:t xml:space="preserve">4.    </w:t>
            </w:r>
            <w:r>
              <w:rPr>
                <w:rFonts w:ascii="Times New Roman" w:hAnsi="Times New Roman"/>
                <w:sz w:val="19"/>
              </w:rPr>
              <w:t xml:space="preserve">Lastra, R.M. (2006): </w:t>
            </w:r>
            <w:r>
              <w:rPr>
                <w:rFonts w:ascii="Times New Roman" w:hAnsi="Times New Roman"/>
                <w:i/>
                <w:sz w:val="19"/>
              </w:rPr>
              <w:t>L</w:t>
            </w:r>
            <w:r>
              <w:rPr>
                <w:rFonts w:ascii="Times New Roman" w:hAnsi="Times New Roman"/>
                <w:i/>
                <w:sz w:val="19"/>
              </w:rPr>
              <w:t>egal  Foundations of International Monetary Stability</w:t>
            </w:r>
            <w:r>
              <w:rPr>
                <w:rFonts w:ascii="Times New Roman" w:hAnsi="Times New Roman"/>
                <w:sz w:val="19"/>
              </w:rPr>
              <w:t>,UK: Oxford University Press.</w:t>
            </w:r>
          </w:p>
        </w:tc>
      </w:tr>
      <w:tr w:rsidR="00C74ABF">
        <w:trPr>
          <w:trHeight w:hRule="exact" w:val="254"/>
        </w:trPr>
        <w:tc>
          <w:tcPr>
            <w:tcW w:w="7344" w:type="dxa"/>
            <w:gridSpan w:val="6"/>
            <w:tcBorders>
              <w:top w:val="single" w:sz="4" w:space="0" w:color="000000"/>
              <w:left w:val="single" w:sz="4" w:space="0" w:color="000000"/>
              <w:bottom w:val="single" w:sz="4" w:space="0" w:color="000000"/>
              <w:right w:val="single" w:sz="4" w:space="0" w:color="000000"/>
            </w:tcBorders>
          </w:tcPr>
          <w:p w:rsidR="00C74ABF" w:rsidRDefault="001E692F">
            <w:pPr>
              <w:spacing w:after="0" w:line="241" w:lineRule="exact"/>
              <w:ind w:left="100" w:right="-20"/>
              <w:rPr>
                <w:rFonts w:ascii="Times New Roman" w:eastAsia="Times New Roman" w:hAnsi="Times New Roman" w:cs="Times New Roman"/>
                <w:sz w:val="21"/>
                <w:szCs w:val="21"/>
              </w:rPr>
            </w:pPr>
            <w:r>
              <w:rPr>
                <w:rFonts w:ascii="Times New Roman" w:hAnsi="Times New Roman"/>
                <w:b/>
                <w:sz w:val="21"/>
              </w:rPr>
              <w:t>Number of classes of teaching</w:t>
            </w:r>
          </w:p>
        </w:tc>
        <w:tc>
          <w:tcPr>
            <w:tcW w:w="1277" w:type="dxa"/>
            <w:gridSpan w:val="2"/>
            <w:vMerge w:val="restart"/>
            <w:tcBorders>
              <w:top w:val="single" w:sz="4" w:space="0" w:color="000000"/>
              <w:left w:val="single" w:sz="4" w:space="0" w:color="000000"/>
              <w:right w:val="single" w:sz="4" w:space="0" w:color="000000"/>
            </w:tcBorders>
          </w:tcPr>
          <w:p w:rsidR="00C74ABF" w:rsidRDefault="001E692F">
            <w:pPr>
              <w:spacing w:after="0" w:line="236" w:lineRule="exact"/>
              <w:ind w:left="95" w:right="-20"/>
              <w:rPr>
                <w:rFonts w:ascii="Times New Roman" w:eastAsia="Times New Roman" w:hAnsi="Times New Roman" w:cs="Times New Roman"/>
                <w:sz w:val="21"/>
                <w:szCs w:val="21"/>
              </w:rPr>
            </w:pPr>
            <w:r>
              <w:rPr>
                <w:rFonts w:ascii="Times New Roman" w:hAnsi="Times New Roman"/>
                <w:w w:val="102"/>
                <w:sz w:val="21"/>
              </w:rPr>
              <w:t>Other</w:t>
            </w:r>
          </w:p>
          <w:p w:rsidR="00C74ABF" w:rsidRDefault="001E692F">
            <w:pPr>
              <w:spacing w:before="3" w:after="0" w:line="240" w:lineRule="auto"/>
              <w:ind w:left="95" w:right="-20"/>
              <w:rPr>
                <w:rFonts w:ascii="Times New Roman" w:eastAsia="Times New Roman" w:hAnsi="Times New Roman" w:cs="Times New Roman"/>
                <w:sz w:val="21"/>
                <w:szCs w:val="21"/>
              </w:rPr>
            </w:pPr>
            <w:r>
              <w:rPr>
                <w:rFonts w:ascii="Times New Roman" w:hAnsi="Times New Roman"/>
                <w:w w:val="102"/>
                <w:sz w:val="21"/>
              </w:rPr>
              <w:t>classes</w:t>
            </w:r>
          </w:p>
        </w:tc>
      </w:tr>
      <w:tr w:rsidR="00C74ABF">
        <w:trPr>
          <w:trHeight w:hRule="exact" w:val="566"/>
        </w:trPr>
        <w:tc>
          <w:tcPr>
            <w:tcW w:w="1339" w:type="dxa"/>
            <w:tcBorders>
              <w:top w:val="single" w:sz="4" w:space="0" w:color="000000"/>
              <w:left w:val="single" w:sz="4" w:space="0" w:color="000000"/>
              <w:bottom w:val="single" w:sz="4" w:space="0" w:color="000000"/>
              <w:right w:val="single" w:sz="4" w:space="0" w:color="000000"/>
            </w:tcBorders>
          </w:tcPr>
          <w:p w:rsidR="00C74ABF" w:rsidRDefault="001E692F">
            <w:pPr>
              <w:spacing w:after="0" w:line="236" w:lineRule="exact"/>
              <w:ind w:left="100" w:right="-20"/>
              <w:rPr>
                <w:rFonts w:ascii="Times New Roman" w:eastAsia="Times New Roman" w:hAnsi="Times New Roman" w:cs="Times New Roman"/>
                <w:sz w:val="21"/>
                <w:szCs w:val="21"/>
              </w:rPr>
            </w:pPr>
            <w:r>
              <w:rPr>
                <w:rFonts w:ascii="Times New Roman" w:hAnsi="Times New Roman"/>
                <w:w w:val="102"/>
                <w:sz w:val="21"/>
              </w:rPr>
              <w:t>Lectures:</w:t>
            </w:r>
          </w:p>
          <w:p w:rsidR="00C74ABF" w:rsidRDefault="001E692F">
            <w:pPr>
              <w:spacing w:before="3" w:after="0" w:line="240" w:lineRule="auto"/>
              <w:ind w:left="100" w:right="-20"/>
              <w:rPr>
                <w:rFonts w:ascii="Times New Roman" w:eastAsia="Times New Roman" w:hAnsi="Times New Roman" w:cs="Times New Roman"/>
                <w:sz w:val="21"/>
                <w:szCs w:val="21"/>
              </w:rPr>
            </w:pPr>
            <w:r>
              <w:rPr>
                <w:rFonts w:ascii="Times New Roman" w:hAnsi="Times New Roman"/>
                <w:w w:val="102"/>
                <w:sz w:val="21"/>
              </w:rPr>
              <w:t>15x3=45</w:t>
            </w:r>
          </w:p>
        </w:tc>
        <w:tc>
          <w:tcPr>
            <w:tcW w:w="984" w:type="dxa"/>
            <w:tcBorders>
              <w:top w:val="single" w:sz="4" w:space="0" w:color="000000"/>
              <w:left w:val="single" w:sz="4" w:space="0" w:color="000000"/>
              <w:bottom w:val="single" w:sz="4" w:space="0" w:color="000000"/>
              <w:right w:val="single" w:sz="4" w:space="0" w:color="000000"/>
            </w:tcBorders>
          </w:tcPr>
          <w:p w:rsidR="00C74ABF" w:rsidRDefault="001E692F">
            <w:pPr>
              <w:spacing w:after="0" w:line="236" w:lineRule="exact"/>
              <w:ind w:left="95" w:right="-20"/>
              <w:rPr>
                <w:rFonts w:ascii="Times New Roman" w:eastAsia="Times New Roman" w:hAnsi="Times New Roman" w:cs="Times New Roman"/>
                <w:sz w:val="21"/>
                <w:szCs w:val="21"/>
              </w:rPr>
            </w:pPr>
            <w:r>
              <w:rPr>
                <w:rFonts w:ascii="Times New Roman" w:hAnsi="Times New Roman"/>
                <w:w w:val="102"/>
                <w:sz w:val="21"/>
              </w:rPr>
              <w:t>Practical work:</w:t>
            </w:r>
          </w:p>
        </w:tc>
        <w:tc>
          <w:tcPr>
            <w:tcW w:w="1637" w:type="dxa"/>
            <w:gridSpan w:val="2"/>
            <w:tcBorders>
              <w:top w:val="single" w:sz="4" w:space="0" w:color="000000"/>
              <w:left w:val="single" w:sz="4" w:space="0" w:color="000000"/>
              <w:bottom w:val="single" w:sz="4" w:space="0" w:color="000000"/>
              <w:right w:val="single" w:sz="4" w:space="0" w:color="000000"/>
            </w:tcBorders>
          </w:tcPr>
          <w:p w:rsidR="00C74ABF" w:rsidRDefault="001E692F">
            <w:pPr>
              <w:spacing w:after="0" w:line="236" w:lineRule="exact"/>
              <w:ind w:left="100" w:right="-20"/>
              <w:rPr>
                <w:rFonts w:ascii="Times New Roman" w:eastAsia="Times New Roman" w:hAnsi="Times New Roman" w:cs="Times New Roman"/>
                <w:sz w:val="21"/>
                <w:szCs w:val="21"/>
              </w:rPr>
            </w:pPr>
            <w:r>
              <w:rPr>
                <w:rFonts w:ascii="Times New Roman" w:hAnsi="Times New Roman"/>
                <w:sz w:val="21"/>
              </w:rPr>
              <w:t>Other forms of</w:t>
            </w:r>
          </w:p>
          <w:p w:rsidR="00C74ABF" w:rsidRDefault="001E692F">
            <w:pPr>
              <w:spacing w:before="3" w:after="0" w:line="240" w:lineRule="auto"/>
              <w:ind w:left="100" w:right="-20"/>
              <w:rPr>
                <w:rFonts w:ascii="Times New Roman" w:eastAsia="Times New Roman" w:hAnsi="Times New Roman" w:cs="Times New Roman"/>
                <w:sz w:val="21"/>
                <w:szCs w:val="21"/>
              </w:rPr>
            </w:pPr>
            <w:r>
              <w:rPr>
                <w:rFonts w:ascii="Times New Roman" w:hAnsi="Times New Roman"/>
                <w:w w:val="102"/>
                <w:sz w:val="21"/>
              </w:rPr>
              <w:t>teaching</w:t>
            </w:r>
          </w:p>
        </w:tc>
        <w:tc>
          <w:tcPr>
            <w:tcW w:w="3384" w:type="dxa"/>
            <w:gridSpan w:val="2"/>
            <w:tcBorders>
              <w:top w:val="single" w:sz="4" w:space="0" w:color="000000"/>
              <w:left w:val="single" w:sz="4" w:space="0" w:color="000000"/>
              <w:bottom w:val="single" w:sz="4" w:space="0" w:color="000000"/>
              <w:right w:val="single" w:sz="4" w:space="0" w:color="000000"/>
            </w:tcBorders>
          </w:tcPr>
          <w:p w:rsidR="00C74ABF" w:rsidRDefault="001E692F">
            <w:pPr>
              <w:spacing w:after="0" w:line="236" w:lineRule="exact"/>
              <w:ind w:left="95" w:right="-20"/>
              <w:rPr>
                <w:rFonts w:ascii="Times New Roman" w:eastAsia="Times New Roman" w:hAnsi="Times New Roman" w:cs="Times New Roman"/>
                <w:sz w:val="21"/>
                <w:szCs w:val="21"/>
              </w:rPr>
            </w:pPr>
            <w:r>
              <w:rPr>
                <w:rFonts w:ascii="Times New Roman" w:hAnsi="Times New Roman"/>
                <w:sz w:val="21"/>
              </w:rPr>
              <w:t>Studying research work:   2</w:t>
            </w:r>
          </w:p>
          <w:p w:rsidR="00C74ABF" w:rsidRDefault="001E692F">
            <w:pPr>
              <w:spacing w:before="3" w:after="0" w:line="240" w:lineRule="auto"/>
              <w:ind w:left="95" w:right="-20"/>
              <w:rPr>
                <w:rFonts w:ascii="Times New Roman" w:eastAsia="Times New Roman" w:hAnsi="Times New Roman" w:cs="Times New Roman"/>
                <w:sz w:val="21"/>
                <w:szCs w:val="21"/>
              </w:rPr>
            </w:pPr>
            <w:r>
              <w:rPr>
                <w:rFonts w:ascii="Times New Roman" w:hAnsi="Times New Roman"/>
                <w:sz w:val="21"/>
              </w:rPr>
              <w:t>(preparation for final work)</w:t>
            </w:r>
          </w:p>
        </w:tc>
        <w:tc>
          <w:tcPr>
            <w:tcW w:w="1277" w:type="dxa"/>
            <w:gridSpan w:val="2"/>
            <w:vMerge/>
            <w:tcBorders>
              <w:left w:val="single" w:sz="4" w:space="0" w:color="000000"/>
              <w:bottom w:val="single" w:sz="4" w:space="0" w:color="000000"/>
              <w:right w:val="single" w:sz="4" w:space="0" w:color="000000"/>
            </w:tcBorders>
          </w:tcPr>
          <w:p w:rsidR="00C74ABF" w:rsidRDefault="00C74ABF"/>
        </w:tc>
      </w:tr>
      <w:tr w:rsidR="00C74ABF">
        <w:trPr>
          <w:trHeight w:hRule="exact" w:val="528"/>
        </w:trPr>
        <w:tc>
          <w:tcPr>
            <w:tcW w:w="8621" w:type="dxa"/>
            <w:gridSpan w:val="8"/>
            <w:tcBorders>
              <w:top w:val="single" w:sz="4" w:space="0" w:color="000000"/>
              <w:left w:val="single" w:sz="4" w:space="0" w:color="000000"/>
              <w:bottom w:val="single" w:sz="4" w:space="0" w:color="000000"/>
              <w:right w:val="single" w:sz="4" w:space="0" w:color="000000"/>
            </w:tcBorders>
          </w:tcPr>
          <w:p w:rsidR="00C74ABF" w:rsidRDefault="001E692F">
            <w:pPr>
              <w:spacing w:before="4" w:after="0" w:line="240" w:lineRule="auto"/>
              <w:ind w:left="100" w:right="-20"/>
              <w:rPr>
                <w:rFonts w:ascii="Times New Roman" w:eastAsia="Times New Roman" w:hAnsi="Times New Roman" w:cs="Times New Roman"/>
                <w:sz w:val="21"/>
                <w:szCs w:val="21"/>
              </w:rPr>
            </w:pPr>
            <w:r>
              <w:rPr>
                <w:rFonts w:ascii="Times New Roman" w:hAnsi="Times New Roman"/>
                <w:b/>
                <w:sz w:val="21"/>
              </w:rPr>
              <w:t>Methods of teaching:</w:t>
            </w:r>
          </w:p>
          <w:p w:rsidR="00C74ABF" w:rsidRDefault="001E692F">
            <w:pPr>
              <w:spacing w:after="0" w:line="240" w:lineRule="exact"/>
              <w:ind w:left="100" w:right="-20"/>
              <w:rPr>
                <w:rFonts w:ascii="Times New Roman" w:eastAsia="Times New Roman" w:hAnsi="Times New Roman" w:cs="Times New Roman"/>
                <w:sz w:val="21"/>
                <w:szCs w:val="21"/>
              </w:rPr>
            </w:pPr>
            <w:r>
              <w:rPr>
                <w:rFonts w:ascii="Times New Roman" w:hAnsi="Times New Roman"/>
                <w:sz w:val="21"/>
              </w:rPr>
              <w:t>Ex-catedra, interactiveteaching, discussion groups,seminars, progress tests</w:t>
            </w:r>
          </w:p>
        </w:tc>
      </w:tr>
      <w:tr w:rsidR="00C74ABF">
        <w:trPr>
          <w:trHeight w:hRule="exact" w:val="259"/>
        </w:trPr>
        <w:tc>
          <w:tcPr>
            <w:tcW w:w="8621" w:type="dxa"/>
            <w:gridSpan w:val="8"/>
            <w:tcBorders>
              <w:top w:val="single" w:sz="4" w:space="0" w:color="000000"/>
              <w:left w:val="single" w:sz="4" w:space="0" w:color="000000"/>
              <w:bottom w:val="single" w:sz="4" w:space="0" w:color="000000"/>
              <w:right w:val="single" w:sz="4" w:space="0" w:color="000000"/>
            </w:tcBorders>
          </w:tcPr>
          <w:p w:rsidR="00C74ABF" w:rsidRDefault="001E692F">
            <w:pPr>
              <w:spacing w:after="0" w:line="241" w:lineRule="exact"/>
              <w:ind w:left="2221" w:right="-20"/>
              <w:rPr>
                <w:rFonts w:ascii="Times New Roman" w:eastAsia="Times New Roman" w:hAnsi="Times New Roman" w:cs="Times New Roman"/>
                <w:sz w:val="21"/>
                <w:szCs w:val="21"/>
              </w:rPr>
            </w:pPr>
            <w:r>
              <w:rPr>
                <w:rFonts w:ascii="Times New Roman" w:hAnsi="Times New Roman"/>
                <w:b/>
                <w:sz w:val="21"/>
              </w:rPr>
              <w:t>Grading (maximum number of points 100)</w:t>
            </w:r>
          </w:p>
        </w:tc>
      </w:tr>
      <w:tr w:rsidR="00C74ABF">
        <w:trPr>
          <w:trHeight w:hRule="exact" w:val="254"/>
        </w:trPr>
        <w:tc>
          <w:tcPr>
            <w:tcW w:w="3547" w:type="dxa"/>
            <w:gridSpan w:val="3"/>
            <w:tcBorders>
              <w:top w:val="single" w:sz="4" w:space="0" w:color="000000"/>
              <w:left w:val="single" w:sz="4" w:space="0" w:color="000000"/>
              <w:bottom w:val="single" w:sz="4" w:space="0" w:color="000000"/>
              <w:right w:val="single" w:sz="4" w:space="0" w:color="000000"/>
            </w:tcBorders>
          </w:tcPr>
          <w:p w:rsidR="00C74ABF" w:rsidRDefault="001E692F">
            <w:pPr>
              <w:spacing w:after="0" w:line="236" w:lineRule="exact"/>
              <w:ind w:left="100" w:right="-20"/>
              <w:rPr>
                <w:rFonts w:ascii="Times New Roman" w:eastAsia="Times New Roman" w:hAnsi="Times New Roman" w:cs="Times New Roman"/>
                <w:sz w:val="21"/>
                <w:szCs w:val="21"/>
              </w:rPr>
            </w:pPr>
            <w:r>
              <w:rPr>
                <w:rFonts w:ascii="Times New Roman" w:hAnsi="Times New Roman"/>
                <w:b/>
                <w:sz w:val="21"/>
              </w:rPr>
              <w:t>Pre-exam assignments</w:t>
            </w:r>
          </w:p>
        </w:tc>
        <w:tc>
          <w:tcPr>
            <w:tcW w:w="1478" w:type="dxa"/>
            <w:gridSpan w:val="2"/>
            <w:tcBorders>
              <w:top w:val="single" w:sz="4" w:space="0" w:color="000000"/>
              <w:left w:val="single" w:sz="4" w:space="0" w:color="000000"/>
              <w:bottom w:val="single" w:sz="4" w:space="0" w:color="000000"/>
              <w:right w:val="single" w:sz="4" w:space="0" w:color="000000"/>
            </w:tcBorders>
          </w:tcPr>
          <w:p w:rsidR="00C74ABF" w:rsidRDefault="001E692F">
            <w:pPr>
              <w:spacing w:after="0" w:line="236" w:lineRule="exact"/>
              <w:ind w:left="100" w:right="-20"/>
              <w:rPr>
                <w:rFonts w:ascii="Times New Roman" w:eastAsia="Times New Roman" w:hAnsi="Times New Roman" w:cs="Times New Roman"/>
                <w:sz w:val="21"/>
                <w:szCs w:val="21"/>
              </w:rPr>
            </w:pPr>
            <w:r>
              <w:rPr>
                <w:rFonts w:ascii="Times New Roman" w:hAnsi="Times New Roman"/>
                <w:b/>
                <w:w w:val="102"/>
                <w:sz w:val="21"/>
              </w:rPr>
              <w:t>points</w:t>
            </w:r>
          </w:p>
        </w:tc>
        <w:tc>
          <w:tcPr>
            <w:tcW w:w="2554" w:type="dxa"/>
            <w:gridSpan w:val="2"/>
            <w:tcBorders>
              <w:top w:val="single" w:sz="4" w:space="0" w:color="000000"/>
              <w:left w:val="single" w:sz="4" w:space="0" w:color="000000"/>
              <w:bottom w:val="single" w:sz="4" w:space="0" w:color="000000"/>
              <w:right w:val="single" w:sz="4" w:space="0" w:color="000000"/>
            </w:tcBorders>
          </w:tcPr>
          <w:p w:rsidR="00C74ABF" w:rsidRDefault="001E692F">
            <w:pPr>
              <w:spacing w:after="0" w:line="232" w:lineRule="exact"/>
              <w:ind w:left="95" w:right="-20"/>
              <w:rPr>
                <w:rFonts w:ascii="Times New Roman" w:eastAsia="Times New Roman" w:hAnsi="Times New Roman" w:cs="Times New Roman"/>
                <w:sz w:val="21"/>
                <w:szCs w:val="21"/>
              </w:rPr>
            </w:pPr>
            <w:r>
              <w:rPr>
                <w:rFonts w:ascii="Times New Roman" w:hAnsi="Times New Roman"/>
                <w:sz w:val="21"/>
              </w:rPr>
              <w:t>Final exam</w:t>
            </w:r>
          </w:p>
        </w:tc>
        <w:tc>
          <w:tcPr>
            <w:tcW w:w="1042" w:type="dxa"/>
            <w:tcBorders>
              <w:top w:val="single" w:sz="4" w:space="0" w:color="000000"/>
              <w:left w:val="single" w:sz="4" w:space="0" w:color="000000"/>
              <w:bottom w:val="single" w:sz="4" w:space="0" w:color="000000"/>
              <w:right w:val="single" w:sz="4" w:space="0" w:color="000000"/>
            </w:tcBorders>
          </w:tcPr>
          <w:p w:rsidR="00C74ABF" w:rsidRDefault="001E692F">
            <w:pPr>
              <w:spacing w:after="0" w:line="232" w:lineRule="exact"/>
              <w:ind w:left="105" w:right="-20"/>
              <w:rPr>
                <w:rFonts w:ascii="Times New Roman" w:eastAsia="Times New Roman" w:hAnsi="Times New Roman" w:cs="Times New Roman"/>
                <w:sz w:val="21"/>
                <w:szCs w:val="21"/>
              </w:rPr>
            </w:pPr>
            <w:r>
              <w:rPr>
                <w:rFonts w:ascii="Times New Roman" w:hAnsi="Times New Roman"/>
                <w:i/>
                <w:w w:val="102"/>
                <w:sz w:val="21"/>
              </w:rPr>
              <w:t>Points</w:t>
            </w:r>
          </w:p>
        </w:tc>
      </w:tr>
      <w:tr w:rsidR="00C74ABF">
        <w:trPr>
          <w:trHeight w:hRule="exact" w:val="254"/>
        </w:trPr>
        <w:tc>
          <w:tcPr>
            <w:tcW w:w="3547" w:type="dxa"/>
            <w:gridSpan w:val="3"/>
            <w:tcBorders>
              <w:top w:val="single" w:sz="4" w:space="0" w:color="000000"/>
              <w:left w:val="single" w:sz="4" w:space="0" w:color="000000"/>
              <w:bottom w:val="single" w:sz="4" w:space="0" w:color="000000"/>
              <w:right w:val="single" w:sz="4" w:space="0" w:color="000000"/>
            </w:tcBorders>
          </w:tcPr>
          <w:p w:rsidR="00C74ABF" w:rsidRDefault="001E692F">
            <w:pPr>
              <w:spacing w:after="0" w:line="236" w:lineRule="exact"/>
              <w:ind w:left="100" w:right="-20"/>
              <w:rPr>
                <w:rFonts w:ascii="Times New Roman" w:eastAsia="Times New Roman" w:hAnsi="Times New Roman" w:cs="Times New Roman"/>
                <w:sz w:val="21"/>
                <w:szCs w:val="21"/>
              </w:rPr>
            </w:pPr>
            <w:r>
              <w:rPr>
                <w:rFonts w:ascii="Times New Roman" w:hAnsi="Times New Roman"/>
                <w:sz w:val="21"/>
              </w:rPr>
              <w:t>activities during lectures</w:t>
            </w:r>
          </w:p>
        </w:tc>
        <w:tc>
          <w:tcPr>
            <w:tcW w:w="1478" w:type="dxa"/>
            <w:gridSpan w:val="2"/>
            <w:tcBorders>
              <w:top w:val="single" w:sz="4" w:space="0" w:color="000000"/>
              <w:left w:val="single" w:sz="4" w:space="0" w:color="000000"/>
              <w:bottom w:val="single" w:sz="4" w:space="0" w:color="000000"/>
              <w:right w:val="single" w:sz="4" w:space="0" w:color="000000"/>
            </w:tcBorders>
          </w:tcPr>
          <w:p w:rsidR="00C74ABF" w:rsidRDefault="00C74ABF"/>
        </w:tc>
        <w:tc>
          <w:tcPr>
            <w:tcW w:w="2554" w:type="dxa"/>
            <w:gridSpan w:val="2"/>
            <w:tcBorders>
              <w:top w:val="single" w:sz="4" w:space="0" w:color="000000"/>
              <w:left w:val="single" w:sz="4" w:space="0" w:color="000000"/>
              <w:bottom w:val="single" w:sz="4" w:space="0" w:color="000000"/>
              <w:right w:val="single" w:sz="4" w:space="0" w:color="000000"/>
            </w:tcBorders>
          </w:tcPr>
          <w:p w:rsidR="00C74ABF" w:rsidRDefault="001E692F">
            <w:pPr>
              <w:spacing w:after="0" w:line="236" w:lineRule="exact"/>
              <w:ind w:left="95" w:right="-20"/>
              <w:rPr>
                <w:rFonts w:ascii="Times New Roman" w:eastAsia="Times New Roman" w:hAnsi="Times New Roman" w:cs="Times New Roman"/>
                <w:sz w:val="21"/>
                <w:szCs w:val="21"/>
              </w:rPr>
            </w:pPr>
            <w:r>
              <w:rPr>
                <w:rFonts w:ascii="Times New Roman" w:hAnsi="Times New Roman"/>
                <w:sz w:val="21"/>
              </w:rPr>
              <w:t>written exam</w:t>
            </w:r>
          </w:p>
        </w:tc>
        <w:tc>
          <w:tcPr>
            <w:tcW w:w="1042" w:type="dxa"/>
            <w:tcBorders>
              <w:top w:val="single" w:sz="4" w:space="0" w:color="000000"/>
              <w:left w:val="single" w:sz="4" w:space="0" w:color="000000"/>
              <w:bottom w:val="single" w:sz="4" w:space="0" w:color="000000"/>
              <w:right w:val="single" w:sz="4" w:space="0" w:color="000000"/>
            </w:tcBorders>
          </w:tcPr>
          <w:p w:rsidR="00C74ABF" w:rsidRDefault="00C74ABF"/>
        </w:tc>
      </w:tr>
      <w:tr w:rsidR="00C74ABF">
        <w:trPr>
          <w:trHeight w:hRule="exact" w:val="254"/>
        </w:trPr>
        <w:tc>
          <w:tcPr>
            <w:tcW w:w="3547" w:type="dxa"/>
            <w:gridSpan w:val="3"/>
            <w:tcBorders>
              <w:top w:val="single" w:sz="4" w:space="0" w:color="000000"/>
              <w:left w:val="single" w:sz="4" w:space="0" w:color="000000"/>
              <w:bottom w:val="single" w:sz="4" w:space="0" w:color="000000"/>
              <w:right w:val="single" w:sz="4" w:space="0" w:color="000000"/>
            </w:tcBorders>
          </w:tcPr>
          <w:p w:rsidR="00C74ABF" w:rsidRDefault="001E692F">
            <w:pPr>
              <w:spacing w:after="0" w:line="236" w:lineRule="exact"/>
              <w:ind w:left="100" w:right="-20"/>
              <w:rPr>
                <w:rFonts w:ascii="Times New Roman" w:eastAsia="Times New Roman" w:hAnsi="Times New Roman" w:cs="Times New Roman"/>
                <w:sz w:val="21"/>
                <w:szCs w:val="21"/>
              </w:rPr>
            </w:pPr>
            <w:r>
              <w:rPr>
                <w:rFonts w:ascii="Times New Roman" w:hAnsi="Times New Roman"/>
                <w:w w:val="102"/>
                <w:sz w:val="21"/>
              </w:rPr>
              <w:t>tests</w:t>
            </w:r>
          </w:p>
        </w:tc>
        <w:tc>
          <w:tcPr>
            <w:tcW w:w="1478" w:type="dxa"/>
            <w:gridSpan w:val="2"/>
            <w:tcBorders>
              <w:top w:val="single" w:sz="4" w:space="0" w:color="000000"/>
              <w:left w:val="single" w:sz="4" w:space="0" w:color="000000"/>
              <w:bottom w:val="single" w:sz="4" w:space="0" w:color="000000"/>
              <w:right w:val="single" w:sz="4" w:space="0" w:color="000000"/>
            </w:tcBorders>
          </w:tcPr>
          <w:p w:rsidR="00C74ABF" w:rsidRDefault="001E692F">
            <w:pPr>
              <w:spacing w:after="0" w:line="236" w:lineRule="exact"/>
              <w:ind w:left="100" w:right="-20"/>
              <w:rPr>
                <w:rFonts w:ascii="Times New Roman" w:eastAsia="Times New Roman" w:hAnsi="Times New Roman" w:cs="Times New Roman"/>
                <w:sz w:val="21"/>
                <w:szCs w:val="21"/>
              </w:rPr>
            </w:pPr>
            <w:r>
              <w:rPr>
                <w:rFonts w:ascii="Times New Roman" w:hAnsi="Times New Roman"/>
                <w:w w:val="102"/>
                <w:sz w:val="21"/>
              </w:rPr>
              <w:t>25</w:t>
            </w:r>
          </w:p>
        </w:tc>
        <w:tc>
          <w:tcPr>
            <w:tcW w:w="2554" w:type="dxa"/>
            <w:gridSpan w:val="2"/>
            <w:tcBorders>
              <w:top w:val="single" w:sz="4" w:space="0" w:color="000000"/>
              <w:left w:val="single" w:sz="4" w:space="0" w:color="000000"/>
              <w:bottom w:val="single" w:sz="4" w:space="0" w:color="000000"/>
              <w:right w:val="single" w:sz="4" w:space="0" w:color="000000"/>
            </w:tcBorders>
          </w:tcPr>
          <w:p w:rsidR="00C74ABF" w:rsidRDefault="001E692F">
            <w:pPr>
              <w:spacing w:after="0" w:line="236" w:lineRule="exact"/>
              <w:ind w:left="95" w:right="-20"/>
              <w:rPr>
                <w:rFonts w:ascii="Times New Roman" w:eastAsia="Times New Roman" w:hAnsi="Times New Roman" w:cs="Times New Roman"/>
                <w:sz w:val="21"/>
                <w:szCs w:val="21"/>
              </w:rPr>
            </w:pPr>
            <w:r>
              <w:rPr>
                <w:rFonts w:ascii="Times New Roman" w:hAnsi="Times New Roman"/>
                <w:sz w:val="21"/>
              </w:rPr>
              <w:t>oral exam</w:t>
            </w:r>
          </w:p>
        </w:tc>
        <w:tc>
          <w:tcPr>
            <w:tcW w:w="1042" w:type="dxa"/>
            <w:tcBorders>
              <w:top w:val="single" w:sz="4" w:space="0" w:color="000000"/>
              <w:left w:val="single" w:sz="4" w:space="0" w:color="000000"/>
              <w:bottom w:val="single" w:sz="4" w:space="0" w:color="000000"/>
              <w:right w:val="single" w:sz="4" w:space="0" w:color="000000"/>
            </w:tcBorders>
          </w:tcPr>
          <w:p w:rsidR="00C74ABF" w:rsidRDefault="001E692F">
            <w:pPr>
              <w:spacing w:after="0" w:line="236" w:lineRule="exact"/>
              <w:ind w:left="105" w:right="-20"/>
              <w:rPr>
                <w:rFonts w:ascii="Times New Roman" w:eastAsia="Times New Roman" w:hAnsi="Times New Roman" w:cs="Times New Roman"/>
                <w:sz w:val="21"/>
                <w:szCs w:val="21"/>
              </w:rPr>
            </w:pPr>
            <w:r>
              <w:rPr>
                <w:rFonts w:ascii="Times New Roman" w:hAnsi="Times New Roman"/>
                <w:w w:val="102"/>
                <w:sz w:val="21"/>
              </w:rPr>
              <w:t>50</w:t>
            </w:r>
          </w:p>
        </w:tc>
      </w:tr>
      <w:tr w:rsidR="00C74ABF">
        <w:trPr>
          <w:trHeight w:hRule="exact" w:val="259"/>
        </w:trPr>
        <w:tc>
          <w:tcPr>
            <w:tcW w:w="3547" w:type="dxa"/>
            <w:gridSpan w:val="3"/>
            <w:tcBorders>
              <w:top w:val="single" w:sz="4" w:space="0" w:color="000000"/>
              <w:left w:val="single" w:sz="4" w:space="0" w:color="000000"/>
              <w:bottom w:val="single" w:sz="4" w:space="0" w:color="000000"/>
              <w:right w:val="single" w:sz="4" w:space="0" w:color="000000"/>
            </w:tcBorders>
          </w:tcPr>
          <w:p w:rsidR="00C74ABF" w:rsidRDefault="001E692F">
            <w:pPr>
              <w:spacing w:after="0" w:line="236" w:lineRule="exact"/>
              <w:ind w:left="100" w:right="-20"/>
              <w:rPr>
                <w:rFonts w:ascii="Times New Roman" w:eastAsia="Times New Roman" w:hAnsi="Times New Roman" w:cs="Times New Roman"/>
                <w:sz w:val="21"/>
                <w:szCs w:val="21"/>
              </w:rPr>
            </w:pPr>
            <w:r>
              <w:rPr>
                <w:rFonts w:ascii="Times New Roman" w:hAnsi="Times New Roman"/>
                <w:w w:val="102"/>
                <w:sz w:val="21"/>
              </w:rPr>
              <w:t>Seminar paper(s)</w:t>
            </w:r>
          </w:p>
        </w:tc>
        <w:tc>
          <w:tcPr>
            <w:tcW w:w="1478" w:type="dxa"/>
            <w:gridSpan w:val="2"/>
            <w:tcBorders>
              <w:top w:val="single" w:sz="4" w:space="0" w:color="000000"/>
              <w:left w:val="single" w:sz="4" w:space="0" w:color="000000"/>
              <w:bottom w:val="single" w:sz="4" w:space="0" w:color="000000"/>
              <w:right w:val="single" w:sz="4" w:space="0" w:color="000000"/>
            </w:tcBorders>
          </w:tcPr>
          <w:p w:rsidR="00C74ABF" w:rsidRDefault="001E692F">
            <w:pPr>
              <w:spacing w:after="0" w:line="236" w:lineRule="exact"/>
              <w:ind w:left="100" w:right="-20"/>
              <w:rPr>
                <w:rFonts w:ascii="Times New Roman" w:eastAsia="Times New Roman" w:hAnsi="Times New Roman" w:cs="Times New Roman"/>
                <w:sz w:val="21"/>
                <w:szCs w:val="21"/>
              </w:rPr>
            </w:pPr>
            <w:r>
              <w:rPr>
                <w:rFonts w:ascii="Times New Roman" w:hAnsi="Times New Roman"/>
                <w:w w:val="102"/>
                <w:sz w:val="21"/>
              </w:rPr>
              <w:t>25</w:t>
            </w:r>
          </w:p>
        </w:tc>
        <w:tc>
          <w:tcPr>
            <w:tcW w:w="2554" w:type="dxa"/>
            <w:gridSpan w:val="2"/>
            <w:tcBorders>
              <w:top w:val="single" w:sz="4" w:space="0" w:color="000000"/>
              <w:left w:val="single" w:sz="4" w:space="0" w:color="000000"/>
              <w:bottom w:val="single" w:sz="4" w:space="0" w:color="000000"/>
              <w:right w:val="single" w:sz="4" w:space="0" w:color="000000"/>
            </w:tcBorders>
          </w:tcPr>
          <w:p w:rsidR="00C74ABF" w:rsidRDefault="00C74ABF"/>
        </w:tc>
        <w:tc>
          <w:tcPr>
            <w:tcW w:w="1042" w:type="dxa"/>
            <w:tcBorders>
              <w:top w:val="single" w:sz="4" w:space="0" w:color="000000"/>
              <w:left w:val="single" w:sz="4" w:space="0" w:color="000000"/>
              <w:bottom w:val="single" w:sz="4" w:space="0" w:color="000000"/>
              <w:right w:val="single" w:sz="4" w:space="0" w:color="000000"/>
            </w:tcBorders>
          </w:tcPr>
          <w:p w:rsidR="00C74ABF" w:rsidRDefault="00C74ABF"/>
        </w:tc>
      </w:tr>
    </w:tbl>
    <w:p w:rsidR="001E692F" w:rsidRDefault="001E692F"/>
    <w:sectPr w:rsidR="001E692F" w:rsidSect="00C74ABF">
      <w:type w:val="continuous"/>
      <w:pgSz w:w="11900" w:h="16840"/>
      <w:pgMar w:top="1580" w:right="1520" w:bottom="280" w:left="15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compat>
    <w:ulTrailSpace/>
  </w:compat>
  <w:rsids>
    <w:rsidRoot w:val="00C74ABF"/>
    <w:rsid w:val="001E692F"/>
    <w:rsid w:val="00AE4B00"/>
    <w:rsid w:val="00C74A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2527</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Natasa</cp:lastModifiedBy>
  <cp:revision>2</cp:revision>
  <dcterms:created xsi:type="dcterms:W3CDTF">2016-04-28T15:27:00Z</dcterms:created>
  <dcterms:modified xsi:type="dcterms:W3CDTF">2016-05-05T12:19:00Z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2016-04-20T00:00:00Z</vt:filetime>
  </property>
  <property fmtid="{D5CDD505-2E9C-101B-9397-08002B2CF9AE}" pid="3" name="LastSaved">
    <vt:filetime>2016-04-28T00:00:00Z</vt:filetime>
  </property>
</Properties>
</file>