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7F6" w:rsidRPr="00830058" w:rsidRDefault="008C07F6">
      <w:pPr>
        <w:spacing w:before="5" w:after="0" w:line="110" w:lineRule="exact"/>
        <w:rPr>
          <w:rFonts w:ascii="Times New Roman" w:hAnsi="Times New Roman" w:cs="Times New Roman"/>
          <w:sz w:val="21"/>
          <w:szCs w:val="21"/>
        </w:rPr>
      </w:pPr>
    </w:p>
    <w:tbl>
      <w:tblPr>
        <w:tblW w:w="0" w:type="auto"/>
        <w:tblInd w:w="95" w:type="dxa"/>
        <w:tblLayout w:type="fixed"/>
        <w:tblCellMar>
          <w:left w:w="0" w:type="dxa"/>
          <w:right w:w="0" w:type="dxa"/>
        </w:tblCellMar>
        <w:tblLook w:val="01E0"/>
      </w:tblPr>
      <w:tblGrid>
        <w:gridCol w:w="1339"/>
        <w:gridCol w:w="984"/>
        <w:gridCol w:w="1224"/>
        <w:gridCol w:w="1229"/>
        <w:gridCol w:w="249"/>
        <w:gridCol w:w="2554"/>
        <w:gridCol w:w="120"/>
        <w:gridCol w:w="922"/>
      </w:tblGrid>
      <w:tr w:rsidR="008C07F6" w:rsidRPr="00830058">
        <w:trPr>
          <w:trHeight w:hRule="exact" w:val="259"/>
        </w:trPr>
        <w:tc>
          <w:tcPr>
            <w:tcW w:w="8621" w:type="dxa"/>
            <w:gridSpan w:val="8"/>
            <w:tcBorders>
              <w:top w:val="single" w:sz="4" w:space="0" w:color="000000"/>
              <w:left w:val="single" w:sz="4" w:space="0" w:color="000000"/>
              <w:bottom w:val="single" w:sz="4" w:space="0" w:color="000000"/>
              <w:right w:val="single" w:sz="4" w:space="0" w:color="000000"/>
            </w:tcBorders>
          </w:tcPr>
          <w:p w:rsidR="008C07F6" w:rsidRPr="00830058" w:rsidRDefault="00E26567">
            <w:pPr>
              <w:spacing w:after="0" w:line="236" w:lineRule="exact"/>
              <w:ind w:left="100" w:right="-20"/>
              <w:rPr>
                <w:rFonts w:ascii="Times New Roman" w:eastAsia="Times New Roman" w:hAnsi="Times New Roman" w:cs="Times New Roman"/>
                <w:sz w:val="21"/>
                <w:szCs w:val="21"/>
              </w:rPr>
            </w:pPr>
            <w:r w:rsidRPr="00830058">
              <w:rPr>
                <w:rFonts w:ascii="Times New Roman" w:hAnsi="Times New Roman" w:cs="Times New Roman"/>
                <w:b/>
                <w:sz w:val="21"/>
                <w:szCs w:val="21"/>
              </w:rPr>
              <w:t xml:space="preserve">Studying program/programs : </w:t>
            </w:r>
            <w:r w:rsidRPr="00830058">
              <w:rPr>
                <w:rFonts w:ascii="Times New Roman" w:hAnsi="Times New Roman" w:cs="Times New Roman"/>
                <w:sz w:val="21"/>
                <w:szCs w:val="21"/>
              </w:rPr>
              <w:t>Banking and Finance</w:t>
            </w:r>
          </w:p>
        </w:tc>
      </w:tr>
      <w:tr w:rsidR="008C07F6" w:rsidRPr="00830058">
        <w:trPr>
          <w:trHeight w:hRule="exact" w:val="499"/>
        </w:trPr>
        <w:tc>
          <w:tcPr>
            <w:tcW w:w="8621" w:type="dxa"/>
            <w:gridSpan w:val="8"/>
            <w:tcBorders>
              <w:top w:val="single" w:sz="4" w:space="0" w:color="000000"/>
              <w:left w:val="single" w:sz="4" w:space="0" w:color="000000"/>
              <w:bottom w:val="single" w:sz="4" w:space="0" w:color="000000"/>
              <w:right w:val="single" w:sz="4" w:space="0" w:color="000000"/>
            </w:tcBorders>
          </w:tcPr>
          <w:p w:rsidR="008C07F6" w:rsidRPr="00830058" w:rsidRDefault="00E26567">
            <w:pPr>
              <w:spacing w:after="0" w:line="236" w:lineRule="exact"/>
              <w:ind w:left="100" w:right="-20"/>
              <w:rPr>
                <w:rFonts w:ascii="Times New Roman" w:eastAsia="Times New Roman" w:hAnsi="Times New Roman" w:cs="Times New Roman"/>
                <w:sz w:val="21"/>
                <w:szCs w:val="21"/>
              </w:rPr>
            </w:pPr>
            <w:r w:rsidRPr="00830058">
              <w:rPr>
                <w:rFonts w:ascii="Times New Roman" w:hAnsi="Times New Roman" w:cs="Times New Roman"/>
                <w:b/>
                <w:sz w:val="21"/>
                <w:szCs w:val="21"/>
              </w:rPr>
              <w:t xml:space="preserve">Type and level of studies:  </w:t>
            </w:r>
            <w:r w:rsidRPr="00830058">
              <w:rPr>
                <w:rFonts w:ascii="Times New Roman" w:hAnsi="Times New Roman" w:cs="Times New Roman"/>
                <w:sz w:val="21"/>
                <w:szCs w:val="21"/>
              </w:rPr>
              <w:t>Graduate academic studies, joint program with  the University</w:t>
            </w:r>
          </w:p>
          <w:p w:rsidR="008C07F6" w:rsidRPr="00830058" w:rsidRDefault="00E26567">
            <w:pPr>
              <w:spacing w:before="3" w:after="0" w:line="240" w:lineRule="auto"/>
              <w:ind w:left="100" w:right="-20"/>
              <w:rPr>
                <w:rFonts w:ascii="Times New Roman" w:eastAsia="Times New Roman" w:hAnsi="Times New Roman" w:cs="Times New Roman"/>
                <w:sz w:val="21"/>
                <w:szCs w:val="21"/>
              </w:rPr>
            </w:pPr>
            <w:r w:rsidRPr="00830058">
              <w:rPr>
                <w:rFonts w:ascii="Times New Roman" w:hAnsi="Times New Roman" w:cs="Times New Roman"/>
                <w:w w:val="102"/>
                <w:sz w:val="21"/>
                <w:szCs w:val="21"/>
              </w:rPr>
              <w:t>of Athens</w:t>
            </w:r>
          </w:p>
        </w:tc>
      </w:tr>
      <w:tr w:rsidR="008C07F6" w:rsidRPr="00830058">
        <w:trPr>
          <w:trHeight w:hRule="exact" w:val="259"/>
        </w:trPr>
        <w:tc>
          <w:tcPr>
            <w:tcW w:w="8621" w:type="dxa"/>
            <w:gridSpan w:val="8"/>
            <w:tcBorders>
              <w:top w:val="single" w:sz="4" w:space="0" w:color="000000"/>
              <w:left w:val="single" w:sz="4" w:space="0" w:color="000000"/>
              <w:bottom w:val="single" w:sz="4" w:space="0" w:color="000000"/>
              <w:right w:val="single" w:sz="4" w:space="0" w:color="000000"/>
            </w:tcBorders>
          </w:tcPr>
          <w:p w:rsidR="008C07F6" w:rsidRPr="00830058" w:rsidRDefault="00E26567">
            <w:pPr>
              <w:spacing w:after="0" w:line="236" w:lineRule="exact"/>
              <w:ind w:left="100" w:right="-20"/>
              <w:rPr>
                <w:rFonts w:ascii="Times New Roman" w:eastAsia="Times New Roman" w:hAnsi="Times New Roman" w:cs="Times New Roman"/>
                <w:sz w:val="21"/>
                <w:szCs w:val="21"/>
              </w:rPr>
            </w:pPr>
            <w:r w:rsidRPr="00830058">
              <w:rPr>
                <w:rFonts w:ascii="Times New Roman" w:hAnsi="Times New Roman" w:cs="Times New Roman"/>
                <w:b/>
                <w:sz w:val="21"/>
                <w:szCs w:val="21"/>
              </w:rPr>
              <w:t xml:space="preserve">Course title: </w:t>
            </w:r>
            <w:r w:rsidRPr="00830058">
              <w:rPr>
                <w:rFonts w:ascii="Times New Roman" w:hAnsi="Times New Roman" w:cs="Times New Roman"/>
                <w:sz w:val="21"/>
                <w:szCs w:val="21"/>
              </w:rPr>
              <w:t>Financial markets and instruments</w:t>
            </w:r>
          </w:p>
        </w:tc>
      </w:tr>
      <w:tr w:rsidR="008C07F6" w:rsidRPr="00830058">
        <w:trPr>
          <w:trHeight w:hRule="exact" w:val="254"/>
        </w:trPr>
        <w:tc>
          <w:tcPr>
            <w:tcW w:w="8621" w:type="dxa"/>
            <w:gridSpan w:val="8"/>
            <w:tcBorders>
              <w:top w:val="single" w:sz="4" w:space="0" w:color="000000"/>
              <w:left w:val="single" w:sz="4" w:space="0" w:color="000000"/>
              <w:bottom w:val="single" w:sz="4" w:space="0" w:color="000000"/>
              <w:right w:val="single" w:sz="4" w:space="0" w:color="000000"/>
            </w:tcBorders>
          </w:tcPr>
          <w:p w:rsidR="008C07F6" w:rsidRPr="00830058" w:rsidRDefault="00E26567">
            <w:pPr>
              <w:spacing w:after="0" w:line="232" w:lineRule="exact"/>
              <w:ind w:left="100" w:right="-20"/>
              <w:rPr>
                <w:rFonts w:ascii="Times New Roman" w:eastAsia="Times New Roman" w:hAnsi="Times New Roman" w:cs="Times New Roman"/>
                <w:sz w:val="21"/>
                <w:szCs w:val="21"/>
              </w:rPr>
            </w:pPr>
            <w:r w:rsidRPr="00830058">
              <w:rPr>
                <w:rFonts w:ascii="Times New Roman" w:hAnsi="Times New Roman" w:cs="Times New Roman"/>
                <w:b/>
                <w:sz w:val="21"/>
                <w:szCs w:val="21"/>
              </w:rPr>
              <w:t xml:space="preserve">Course status: </w:t>
            </w:r>
            <w:r w:rsidRPr="00830058">
              <w:rPr>
                <w:rFonts w:ascii="Times New Roman" w:hAnsi="Times New Roman" w:cs="Times New Roman"/>
                <w:w w:val="102"/>
                <w:sz w:val="21"/>
                <w:szCs w:val="21"/>
              </w:rPr>
              <w:t>obligatory</w:t>
            </w:r>
          </w:p>
        </w:tc>
      </w:tr>
      <w:tr w:rsidR="008C07F6" w:rsidRPr="00830058">
        <w:trPr>
          <w:trHeight w:hRule="exact" w:val="259"/>
        </w:trPr>
        <w:tc>
          <w:tcPr>
            <w:tcW w:w="8621" w:type="dxa"/>
            <w:gridSpan w:val="8"/>
            <w:tcBorders>
              <w:top w:val="single" w:sz="4" w:space="0" w:color="000000"/>
              <w:left w:val="single" w:sz="4" w:space="0" w:color="000000"/>
              <w:bottom w:val="single" w:sz="4" w:space="0" w:color="000000"/>
              <w:right w:val="single" w:sz="4" w:space="0" w:color="000000"/>
            </w:tcBorders>
          </w:tcPr>
          <w:p w:rsidR="008C07F6" w:rsidRPr="00830058" w:rsidRDefault="00E26567">
            <w:pPr>
              <w:spacing w:after="0" w:line="236" w:lineRule="exact"/>
              <w:ind w:left="100" w:right="-20"/>
              <w:rPr>
                <w:rFonts w:ascii="Times New Roman" w:eastAsia="Times New Roman" w:hAnsi="Times New Roman" w:cs="Times New Roman"/>
                <w:sz w:val="21"/>
                <w:szCs w:val="21"/>
              </w:rPr>
            </w:pPr>
            <w:r w:rsidRPr="00830058">
              <w:rPr>
                <w:rFonts w:ascii="Times New Roman" w:hAnsi="Times New Roman" w:cs="Times New Roman"/>
                <w:b/>
                <w:sz w:val="21"/>
                <w:szCs w:val="21"/>
              </w:rPr>
              <w:t xml:space="preserve">Numbers of ECTS: </w:t>
            </w:r>
            <w:r w:rsidRPr="00830058">
              <w:rPr>
                <w:rFonts w:ascii="Times New Roman" w:hAnsi="Times New Roman" w:cs="Times New Roman"/>
                <w:w w:val="102"/>
                <w:sz w:val="21"/>
                <w:szCs w:val="21"/>
              </w:rPr>
              <w:t>8</w:t>
            </w:r>
          </w:p>
        </w:tc>
      </w:tr>
      <w:tr w:rsidR="008C07F6" w:rsidRPr="00830058">
        <w:trPr>
          <w:trHeight w:hRule="exact" w:val="250"/>
        </w:trPr>
        <w:tc>
          <w:tcPr>
            <w:tcW w:w="8621" w:type="dxa"/>
            <w:gridSpan w:val="8"/>
            <w:tcBorders>
              <w:top w:val="single" w:sz="4" w:space="0" w:color="000000"/>
              <w:left w:val="single" w:sz="4" w:space="0" w:color="000000"/>
              <w:bottom w:val="single" w:sz="4" w:space="0" w:color="000000"/>
              <w:right w:val="single" w:sz="4" w:space="0" w:color="000000"/>
            </w:tcBorders>
          </w:tcPr>
          <w:p w:rsidR="008C07F6" w:rsidRPr="00830058" w:rsidRDefault="00E26567">
            <w:pPr>
              <w:spacing w:after="0" w:line="236" w:lineRule="exact"/>
              <w:ind w:left="100" w:right="-20"/>
              <w:rPr>
                <w:rFonts w:ascii="Times New Roman" w:eastAsia="Times New Roman" w:hAnsi="Times New Roman" w:cs="Times New Roman"/>
                <w:sz w:val="21"/>
                <w:szCs w:val="21"/>
              </w:rPr>
            </w:pPr>
            <w:r w:rsidRPr="00830058">
              <w:rPr>
                <w:rFonts w:ascii="Times New Roman" w:hAnsi="Times New Roman" w:cs="Times New Roman"/>
                <w:b/>
                <w:sz w:val="21"/>
                <w:szCs w:val="21"/>
              </w:rPr>
              <w:t xml:space="preserve">Condition: </w:t>
            </w:r>
            <w:r w:rsidRPr="00830058">
              <w:rPr>
                <w:rFonts w:ascii="Times New Roman" w:hAnsi="Times New Roman" w:cs="Times New Roman"/>
                <w:sz w:val="21"/>
                <w:szCs w:val="21"/>
              </w:rPr>
              <w:t>degree in the field of economics or finance</w:t>
            </w:r>
          </w:p>
        </w:tc>
      </w:tr>
      <w:tr w:rsidR="008C07F6" w:rsidRPr="00830058">
        <w:trPr>
          <w:trHeight w:hRule="exact" w:val="1493"/>
        </w:trPr>
        <w:tc>
          <w:tcPr>
            <w:tcW w:w="8621" w:type="dxa"/>
            <w:gridSpan w:val="8"/>
            <w:tcBorders>
              <w:top w:val="single" w:sz="4" w:space="0" w:color="000000"/>
              <w:left w:val="single" w:sz="4" w:space="0" w:color="000000"/>
              <w:bottom w:val="single" w:sz="4" w:space="0" w:color="000000"/>
              <w:right w:val="single" w:sz="4" w:space="0" w:color="000000"/>
            </w:tcBorders>
          </w:tcPr>
          <w:p w:rsidR="008C07F6" w:rsidRPr="00830058" w:rsidRDefault="00E26567">
            <w:pPr>
              <w:spacing w:after="0" w:line="244" w:lineRule="exact"/>
              <w:ind w:left="100" w:right="43"/>
              <w:jc w:val="both"/>
              <w:rPr>
                <w:rFonts w:ascii="Times New Roman" w:eastAsia="Times New Roman" w:hAnsi="Times New Roman" w:cs="Times New Roman"/>
                <w:sz w:val="21"/>
                <w:szCs w:val="21"/>
              </w:rPr>
            </w:pPr>
            <w:r w:rsidRPr="00830058">
              <w:rPr>
                <w:rFonts w:ascii="Times New Roman" w:hAnsi="Times New Roman" w:cs="Times New Roman"/>
                <w:b/>
                <w:sz w:val="21"/>
                <w:szCs w:val="21"/>
              </w:rPr>
              <w:t>Course outcome:</w:t>
            </w:r>
            <w:r w:rsidRPr="00830058">
              <w:rPr>
                <w:rFonts w:ascii="Times New Roman" w:hAnsi="Times New Roman" w:cs="Times New Roman"/>
                <w:sz w:val="21"/>
                <w:szCs w:val="21"/>
              </w:rPr>
              <w:t xml:space="preserve"> Students are enabled to understand functions of different financial markets, institutions, instruments, nature of global financial markets, structure of various national financial syst</w:t>
            </w:r>
            <w:r w:rsidRPr="00830058">
              <w:rPr>
                <w:rFonts w:ascii="Times New Roman" w:hAnsi="Times New Roman" w:cs="Times New Roman"/>
                <w:sz w:val="21"/>
                <w:szCs w:val="21"/>
              </w:rPr>
              <w:t>ems and roles</w:t>
            </w:r>
          </w:p>
          <w:p w:rsidR="008C07F6" w:rsidRPr="00830058" w:rsidRDefault="00E26567">
            <w:pPr>
              <w:spacing w:before="4" w:after="0" w:line="243" w:lineRule="auto"/>
              <w:ind w:left="100" w:right="40"/>
              <w:jc w:val="both"/>
              <w:rPr>
                <w:rFonts w:ascii="Times New Roman" w:eastAsia="Times New Roman" w:hAnsi="Times New Roman" w:cs="Times New Roman"/>
                <w:sz w:val="21"/>
                <w:szCs w:val="21"/>
              </w:rPr>
            </w:pPr>
            <w:r w:rsidRPr="00830058">
              <w:rPr>
                <w:rFonts w:ascii="Times New Roman" w:hAnsi="Times New Roman" w:cs="Times New Roman"/>
                <w:sz w:val="21"/>
                <w:szCs w:val="21"/>
              </w:rPr>
              <w:t>of banks and other financial actors.  Candidates will also understand the role of markets in determining prices, with development of explanations and the basic rationality of financial market regulation.</w:t>
            </w:r>
          </w:p>
        </w:tc>
      </w:tr>
      <w:tr w:rsidR="008C07F6" w:rsidRPr="00830058">
        <w:trPr>
          <w:trHeight w:hRule="exact" w:val="2472"/>
        </w:trPr>
        <w:tc>
          <w:tcPr>
            <w:tcW w:w="8621" w:type="dxa"/>
            <w:gridSpan w:val="8"/>
            <w:tcBorders>
              <w:top w:val="single" w:sz="4" w:space="0" w:color="000000"/>
              <w:left w:val="single" w:sz="4" w:space="0" w:color="000000"/>
              <w:bottom w:val="single" w:sz="4" w:space="0" w:color="000000"/>
              <w:right w:val="single" w:sz="4" w:space="0" w:color="000000"/>
            </w:tcBorders>
          </w:tcPr>
          <w:p w:rsidR="008C07F6" w:rsidRPr="00830058" w:rsidRDefault="00E26567">
            <w:pPr>
              <w:spacing w:after="0" w:line="236" w:lineRule="exact"/>
              <w:ind w:left="100" w:right="47"/>
              <w:jc w:val="both"/>
              <w:rPr>
                <w:rFonts w:ascii="Times New Roman" w:eastAsia="Times New Roman" w:hAnsi="Times New Roman" w:cs="Times New Roman"/>
                <w:sz w:val="21"/>
                <w:szCs w:val="21"/>
              </w:rPr>
            </w:pPr>
            <w:r w:rsidRPr="00830058">
              <w:rPr>
                <w:rFonts w:ascii="Times New Roman" w:hAnsi="Times New Roman" w:cs="Times New Roman"/>
                <w:b/>
                <w:sz w:val="21"/>
                <w:szCs w:val="21"/>
              </w:rPr>
              <w:t>Course objectives:</w:t>
            </w:r>
            <w:r w:rsidRPr="00830058">
              <w:rPr>
                <w:rFonts w:ascii="Times New Roman" w:hAnsi="Times New Roman" w:cs="Times New Roman"/>
                <w:sz w:val="21"/>
                <w:szCs w:val="21"/>
              </w:rPr>
              <w:t xml:space="preserve"> After completion of this course, students will be able to </w:t>
            </w:r>
            <w:r w:rsidRPr="00830058">
              <w:rPr>
                <w:rFonts w:ascii="Times New Roman" w:hAnsi="Times New Roman" w:cs="Times New Roman"/>
                <w:sz w:val="21"/>
                <w:szCs w:val="21"/>
              </w:rPr>
              <w:t xml:space="preserve"> explain the role</w:t>
            </w:r>
          </w:p>
          <w:p w:rsidR="008C07F6" w:rsidRPr="00830058" w:rsidRDefault="00E26567">
            <w:pPr>
              <w:spacing w:before="3" w:after="0" w:line="244" w:lineRule="auto"/>
              <w:ind w:left="100" w:right="35"/>
              <w:jc w:val="both"/>
              <w:rPr>
                <w:rFonts w:ascii="Times New Roman" w:eastAsia="Times New Roman" w:hAnsi="Times New Roman" w:cs="Times New Roman"/>
                <w:sz w:val="21"/>
                <w:szCs w:val="21"/>
              </w:rPr>
            </w:pPr>
            <w:r w:rsidRPr="00830058">
              <w:rPr>
                <w:rFonts w:ascii="Times New Roman" w:hAnsi="Times New Roman" w:cs="Times New Roman"/>
                <w:sz w:val="21"/>
                <w:szCs w:val="21"/>
              </w:rPr>
              <w:t>have the financial markets, institutions and instruments; to explain features of the key bond markets organization, to explain the effects of market structure on</w:t>
            </w:r>
            <w:r w:rsidRPr="00830058">
              <w:rPr>
                <w:rFonts w:ascii="Times New Roman" w:hAnsi="Times New Roman" w:cs="Times New Roman"/>
                <w:sz w:val="21"/>
                <w:szCs w:val="21"/>
              </w:rPr>
              <w:t xml:space="preserve"> the pricing mechanism, to analyze the role of transformation in the management of funds and liquidity risks; to describe the primary characteristics of banks and to distinguish their role in relation to non-banking institutions and to discuss and explain </w:t>
            </w:r>
            <w:r w:rsidRPr="00830058">
              <w:rPr>
                <w:rFonts w:ascii="Times New Roman" w:hAnsi="Times New Roman" w:cs="Times New Roman"/>
                <w:sz w:val="21"/>
                <w:szCs w:val="21"/>
              </w:rPr>
              <w:t>the reasons for government intervention in the domain of functioning of financial markets and institutions.  In addition, students will acquire the cognitive competences that are not specific only to this course, such as: understanding how financial instit</w:t>
            </w:r>
            <w:r w:rsidRPr="00830058">
              <w:rPr>
                <w:rFonts w:ascii="Times New Roman" w:hAnsi="Times New Roman" w:cs="Times New Roman"/>
                <w:sz w:val="21"/>
                <w:szCs w:val="21"/>
              </w:rPr>
              <w:t>utions develop over time, and awareness that there is no single method of solving problems in business environment.</w:t>
            </w:r>
          </w:p>
        </w:tc>
      </w:tr>
      <w:tr w:rsidR="008C07F6" w:rsidRPr="00830058">
        <w:trPr>
          <w:trHeight w:hRule="exact" w:val="1733"/>
        </w:trPr>
        <w:tc>
          <w:tcPr>
            <w:tcW w:w="8621" w:type="dxa"/>
            <w:gridSpan w:val="8"/>
            <w:tcBorders>
              <w:top w:val="single" w:sz="4" w:space="0" w:color="000000"/>
              <w:left w:val="single" w:sz="4" w:space="0" w:color="000000"/>
              <w:bottom w:val="single" w:sz="4" w:space="0" w:color="000000"/>
              <w:right w:val="single" w:sz="4" w:space="0" w:color="000000"/>
            </w:tcBorders>
          </w:tcPr>
          <w:p w:rsidR="008C07F6" w:rsidRPr="00830058" w:rsidRDefault="00E26567">
            <w:pPr>
              <w:spacing w:after="0" w:line="236" w:lineRule="exact"/>
              <w:ind w:left="100" w:right="46"/>
              <w:jc w:val="both"/>
              <w:rPr>
                <w:rFonts w:ascii="Times New Roman" w:eastAsia="Times New Roman" w:hAnsi="Times New Roman" w:cs="Times New Roman"/>
                <w:sz w:val="21"/>
                <w:szCs w:val="21"/>
              </w:rPr>
            </w:pPr>
            <w:r w:rsidRPr="00830058">
              <w:rPr>
                <w:rFonts w:ascii="Times New Roman" w:hAnsi="Times New Roman" w:cs="Times New Roman"/>
                <w:b/>
                <w:sz w:val="21"/>
                <w:szCs w:val="21"/>
              </w:rPr>
              <w:t>Course content</w:t>
            </w:r>
            <w:r w:rsidRPr="00830058">
              <w:rPr>
                <w:rFonts w:ascii="Times New Roman" w:hAnsi="Times New Roman" w:cs="Times New Roman"/>
                <w:sz w:val="21"/>
                <w:szCs w:val="21"/>
              </w:rPr>
              <w:t xml:space="preserve"> </w:t>
            </w:r>
            <w:r w:rsidRPr="00830058">
              <w:rPr>
                <w:rFonts w:ascii="Times New Roman" w:hAnsi="Times New Roman" w:cs="Times New Roman"/>
                <w:i/>
                <w:sz w:val="21"/>
                <w:szCs w:val="21"/>
              </w:rPr>
              <w:t xml:space="preserve">Theory: </w:t>
            </w:r>
            <w:r w:rsidRPr="00830058">
              <w:rPr>
                <w:rFonts w:ascii="Times New Roman" w:hAnsi="Times New Roman" w:cs="Times New Roman"/>
                <w:sz w:val="21"/>
                <w:szCs w:val="21"/>
              </w:rPr>
              <w:t>This course is focused onto:</w:t>
            </w:r>
            <w:r w:rsidRPr="00830058">
              <w:rPr>
                <w:rFonts w:ascii="Times New Roman" w:hAnsi="Times New Roman" w:cs="Times New Roman"/>
                <w:sz w:val="21"/>
                <w:szCs w:val="21"/>
              </w:rPr>
              <w:t xml:space="preserve">  1. Theory and Practical approaches</w:t>
            </w:r>
          </w:p>
          <w:p w:rsidR="008C07F6" w:rsidRPr="00830058" w:rsidRDefault="00E26567">
            <w:pPr>
              <w:spacing w:before="3" w:after="0" w:line="244" w:lineRule="auto"/>
              <w:ind w:left="100" w:right="37"/>
              <w:jc w:val="both"/>
              <w:rPr>
                <w:rFonts w:ascii="Times New Roman" w:eastAsia="Times New Roman" w:hAnsi="Times New Roman" w:cs="Times New Roman"/>
                <w:sz w:val="21"/>
                <w:szCs w:val="21"/>
              </w:rPr>
            </w:pPr>
            <w:r w:rsidRPr="00830058">
              <w:rPr>
                <w:rFonts w:ascii="Times New Roman" w:hAnsi="Times New Roman" w:cs="Times New Roman"/>
                <w:sz w:val="21"/>
                <w:szCs w:val="21"/>
              </w:rPr>
              <w:t>of functioning of different types of financial markets and institutions, 2. Market efficacity, money and capital markets, 3.  Investments funds (joint, pension, hedge, industry funds), 4.  derived banking products and risk management, 5. Financial innovati</w:t>
            </w:r>
            <w:r w:rsidRPr="00830058">
              <w:rPr>
                <w:rFonts w:ascii="Times New Roman" w:hAnsi="Times New Roman" w:cs="Times New Roman"/>
                <w:sz w:val="21"/>
                <w:szCs w:val="21"/>
              </w:rPr>
              <w:t xml:space="preserve">ons and corporate finance, 6.  Porfolio analysis, porfolio management and financial performance measurement.  </w:t>
            </w:r>
            <w:r w:rsidRPr="00830058">
              <w:rPr>
                <w:rFonts w:ascii="Times New Roman" w:hAnsi="Times New Roman" w:cs="Times New Roman"/>
                <w:i/>
                <w:w w:val="102"/>
                <w:sz w:val="21"/>
                <w:szCs w:val="21"/>
              </w:rPr>
              <w:t>Practical teaching: exercises, other forms of teaching, studying research work.</w:t>
            </w:r>
          </w:p>
        </w:tc>
      </w:tr>
      <w:tr w:rsidR="008C07F6" w:rsidRPr="00830058">
        <w:trPr>
          <w:trHeight w:hRule="exact" w:val="1978"/>
        </w:trPr>
        <w:tc>
          <w:tcPr>
            <w:tcW w:w="8621" w:type="dxa"/>
            <w:gridSpan w:val="8"/>
            <w:tcBorders>
              <w:top w:val="single" w:sz="4" w:space="0" w:color="000000"/>
              <w:left w:val="single" w:sz="4" w:space="0" w:color="000000"/>
              <w:bottom w:val="single" w:sz="4" w:space="0" w:color="000000"/>
              <w:right w:val="single" w:sz="4" w:space="0" w:color="000000"/>
            </w:tcBorders>
          </w:tcPr>
          <w:p w:rsidR="008C07F6" w:rsidRPr="00830058" w:rsidRDefault="00E26567">
            <w:pPr>
              <w:spacing w:after="0" w:line="241" w:lineRule="exact"/>
              <w:ind w:left="100" w:right="-20"/>
              <w:rPr>
                <w:rFonts w:ascii="Times New Roman" w:eastAsia="Times New Roman" w:hAnsi="Times New Roman" w:cs="Times New Roman"/>
                <w:sz w:val="21"/>
                <w:szCs w:val="21"/>
              </w:rPr>
            </w:pPr>
            <w:r w:rsidRPr="00830058">
              <w:rPr>
                <w:rFonts w:ascii="Times New Roman" w:hAnsi="Times New Roman" w:cs="Times New Roman"/>
                <w:b/>
                <w:sz w:val="21"/>
                <w:szCs w:val="21"/>
              </w:rPr>
              <w:t>Literature:</w:t>
            </w:r>
          </w:p>
          <w:p w:rsidR="008C07F6" w:rsidRPr="00830058" w:rsidRDefault="00E26567">
            <w:pPr>
              <w:spacing w:after="0" w:line="240" w:lineRule="exact"/>
              <w:ind w:left="100" w:right="-20"/>
              <w:rPr>
                <w:rFonts w:ascii="Times New Roman" w:eastAsia="Times New Roman" w:hAnsi="Times New Roman" w:cs="Times New Roman"/>
                <w:sz w:val="21"/>
                <w:szCs w:val="21"/>
              </w:rPr>
            </w:pPr>
            <w:r w:rsidRPr="00830058">
              <w:rPr>
                <w:rFonts w:ascii="Times New Roman" w:hAnsi="Times New Roman" w:cs="Times New Roman"/>
                <w:sz w:val="21"/>
                <w:szCs w:val="21"/>
              </w:rPr>
              <w:t xml:space="preserve">1. Љутић Б. Ж. (2007) </w:t>
            </w:r>
            <w:r w:rsidRPr="00830058">
              <w:rPr>
                <w:rFonts w:ascii="Times New Roman" w:hAnsi="Times New Roman" w:cs="Times New Roman"/>
                <w:i/>
                <w:sz w:val="21"/>
                <w:szCs w:val="21"/>
              </w:rPr>
              <w:t>Банкарско и берзанско пословање</w:t>
            </w:r>
            <w:r w:rsidRPr="00830058">
              <w:rPr>
                <w:rFonts w:ascii="Times New Roman" w:hAnsi="Times New Roman" w:cs="Times New Roman"/>
                <w:i/>
                <w:sz w:val="21"/>
                <w:szCs w:val="21"/>
              </w:rPr>
              <w:t>: Инвестициони приступ</w:t>
            </w:r>
            <w:r w:rsidRPr="00830058">
              <w:rPr>
                <w:rFonts w:ascii="Times New Roman" w:hAnsi="Times New Roman" w:cs="Times New Roman"/>
                <w:sz w:val="21"/>
                <w:szCs w:val="21"/>
              </w:rPr>
              <w:t>. Београд:</w:t>
            </w:r>
          </w:p>
          <w:p w:rsidR="008C07F6" w:rsidRPr="00830058" w:rsidRDefault="00E26567">
            <w:pPr>
              <w:spacing w:before="3" w:after="0" w:line="240" w:lineRule="auto"/>
              <w:ind w:left="100" w:right="-20"/>
              <w:rPr>
                <w:rFonts w:ascii="Times New Roman" w:eastAsia="Times New Roman" w:hAnsi="Times New Roman" w:cs="Times New Roman"/>
                <w:sz w:val="21"/>
                <w:szCs w:val="21"/>
              </w:rPr>
            </w:pPr>
            <w:r w:rsidRPr="00830058">
              <w:rPr>
                <w:rFonts w:ascii="Times New Roman" w:hAnsi="Times New Roman" w:cs="Times New Roman"/>
                <w:sz w:val="21"/>
                <w:szCs w:val="21"/>
              </w:rPr>
              <w:t>– MBA Press Inc.</w:t>
            </w:r>
          </w:p>
          <w:p w:rsidR="008C07F6" w:rsidRPr="00830058" w:rsidRDefault="00E26567">
            <w:pPr>
              <w:spacing w:before="3" w:after="0" w:line="248" w:lineRule="auto"/>
              <w:ind w:left="100" w:right="35"/>
              <w:rPr>
                <w:rFonts w:ascii="Times New Roman" w:eastAsia="Times New Roman" w:hAnsi="Times New Roman" w:cs="Times New Roman"/>
                <w:sz w:val="21"/>
                <w:szCs w:val="21"/>
              </w:rPr>
            </w:pPr>
            <w:r w:rsidRPr="00830058">
              <w:rPr>
                <w:rFonts w:ascii="Times New Roman" w:hAnsi="Times New Roman" w:cs="Times New Roman"/>
                <w:sz w:val="21"/>
                <w:szCs w:val="21"/>
              </w:rPr>
              <w:t xml:space="preserve">2. Љутић Б. Ж. (2008) </w:t>
            </w:r>
            <w:r w:rsidRPr="00830058">
              <w:rPr>
                <w:rFonts w:ascii="Times New Roman" w:hAnsi="Times New Roman" w:cs="Times New Roman"/>
                <w:i/>
                <w:sz w:val="21"/>
                <w:szCs w:val="21"/>
              </w:rPr>
              <w:t xml:space="preserve">Корпоративни  финансијски менаџмент. </w:t>
            </w:r>
            <w:r w:rsidRPr="00830058">
              <w:rPr>
                <w:rFonts w:ascii="Times New Roman" w:hAnsi="Times New Roman" w:cs="Times New Roman"/>
                <w:sz w:val="21"/>
                <w:szCs w:val="21"/>
              </w:rPr>
              <w:t>Београд: – MBA Press Inc.</w:t>
            </w:r>
          </w:p>
          <w:p w:rsidR="008C07F6" w:rsidRPr="00830058" w:rsidRDefault="00E26567">
            <w:pPr>
              <w:spacing w:after="0" w:line="237" w:lineRule="exact"/>
              <w:ind w:left="100" w:right="-20"/>
              <w:rPr>
                <w:rFonts w:ascii="Times New Roman" w:eastAsia="Times New Roman" w:hAnsi="Times New Roman" w:cs="Times New Roman"/>
                <w:sz w:val="21"/>
                <w:szCs w:val="21"/>
              </w:rPr>
            </w:pPr>
            <w:r w:rsidRPr="00830058">
              <w:rPr>
                <w:rFonts w:ascii="Times New Roman" w:hAnsi="Times New Roman" w:cs="Times New Roman"/>
                <w:sz w:val="21"/>
                <w:szCs w:val="21"/>
              </w:rPr>
              <w:t xml:space="preserve">3. Foley B. J. (1998) </w:t>
            </w:r>
            <w:r w:rsidRPr="00830058">
              <w:rPr>
                <w:rFonts w:ascii="Times New Roman" w:hAnsi="Times New Roman" w:cs="Times New Roman"/>
                <w:i/>
                <w:sz w:val="21"/>
                <w:szCs w:val="21"/>
              </w:rPr>
              <w:t xml:space="preserve">Tržište kapitala. </w:t>
            </w:r>
            <w:r w:rsidRPr="00830058">
              <w:rPr>
                <w:rFonts w:ascii="Times New Roman" w:hAnsi="Times New Roman" w:cs="Times New Roman"/>
                <w:sz w:val="21"/>
                <w:szCs w:val="21"/>
              </w:rPr>
              <w:t>Zagreb: Mate.</w:t>
            </w:r>
          </w:p>
          <w:p w:rsidR="008C07F6" w:rsidRPr="00830058" w:rsidRDefault="00E26567">
            <w:pPr>
              <w:spacing w:before="3" w:after="0" w:line="240" w:lineRule="auto"/>
              <w:ind w:left="100" w:right="-20"/>
              <w:rPr>
                <w:rFonts w:ascii="Times New Roman" w:eastAsia="Times New Roman" w:hAnsi="Times New Roman" w:cs="Times New Roman"/>
                <w:sz w:val="21"/>
                <w:szCs w:val="21"/>
              </w:rPr>
            </w:pPr>
            <w:r w:rsidRPr="00830058">
              <w:rPr>
                <w:rFonts w:ascii="Times New Roman" w:hAnsi="Times New Roman" w:cs="Times New Roman"/>
                <w:sz w:val="21"/>
                <w:szCs w:val="21"/>
              </w:rPr>
              <w:t xml:space="preserve">4. Mishking F. S., Stanley E. G. (2005) </w:t>
            </w:r>
            <w:r w:rsidRPr="00830058">
              <w:rPr>
                <w:rFonts w:ascii="Times New Roman" w:hAnsi="Times New Roman" w:cs="Times New Roman"/>
                <w:i/>
                <w:sz w:val="21"/>
                <w:szCs w:val="21"/>
              </w:rPr>
              <w:t xml:space="preserve">Financijska tržišta i institucije. </w:t>
            </w:r>
            <w:r w:rsidRPr="00830058">
              <w:rPr>
                <w:rFonts w:ascii="Times New Roman" w:hAnsi="Times New Roman" w:cs="Times New Roman"/>
                <w:sz w:val="21"/>
                <w:szCs w:val="21"/>
              </w:rPr>
              <w:t>Zagreb: Mate.</w:t>
            </w:r>
          </w:p>
          <w:p w:rsidR="008C07F6" w:rsidRPr="00830058" w:rsidRDefault="00E26567">
            <w:pPr>
              <w:spacing w:before="8" w:after="0" w:line="240" w:lineRule="auto"/>
              <w:ind w:left="100" w:right="-20"/>
              <w:rPr>
                <w:rFonts w:ascii="Times New Roman" w:eastAsia="Times New Roman" w:hAnsi="Times New Roman" w:cs="Times New Roman"/>
                <w:sz w:val="21"/>
                <w:szCs w:val="21"/>
              </w:rPr>
            </w:pPr>
            <w:r w:rsidRPr="00830058">
              <w:rPr>
                <w:rFonts w:ascii="Times New Roman" w:hAnsi="Times New Roman" w:cs="Times New Roman"/>
                <w:sz w:val="21"/>
                <w:szCs w:val="21"/>
              </w:rPr>
              <w:t>4. Study cases binder</w:t>
            </w:r>
          </w:p>
        </w:tc>
      </w:tr>
      <w:tr w:rsidR="008C07F6" w:rsidRPr="00830058">
        <w:trPr>
          <w:trHeight w:hRule="exact" w:val="254"/>
        </w:trPr>
        <w:tc>
          <w:tcPr>
            <w:tcW w:w="7699" w:type="dxa"/>
            <w:gridSpan w:val="7"/>
            <w:tcBorders>
              <w:top w:val="single" w:sz="4" w:space="0" w:color="000000"/>
              <w:left w:val="single" w:sz="4" w:space="0" w:color="000000"/>
              <w:bottom w:val="single" w:sz="4" w:space="0" w:color="000000"/>
              <w:right w:val="single" w:sz="4" w:space="0" w:color="000000"/>
            </w:tcBorders>
          </w:tcPr>
          <w:p w:rsidR="008C07F6" w:rsidRPr="00830058" w:rsidRDefault="00E26567">
            <w:pPr>
              <w:spacing w:after="0" w:line="241" w:lineRule="exact"/>
              <w:ind w:left="100" w:right="-20"/>
              <w:rPr>
                <w:rFonts w:ascii="Times New Roman" w:eastAsia="Times New Roman" w:hAnsi="Times New Roman" w:cs="Times New Roman"/>
                <w:sz w:val="21"/>
                <w:szCs w:val="21"/>
              </w:rPr>
            </w:pPr>
            <w:r w:rsidRPr="00830058">
              <w:rPr>
                <w:rFonts w:ascii="Times New Roman" w:hAnsi="Times New Roman" w:cs="Times New Roman"/>
                <w:b/>
                <w:sz w:val="21"/>
                <w:szCs w:val="21"/>
              </w:rPr>
              <w:t>Number of classes of teaching</w:t>
            </w:r>
          </w:p>
        </w:tc>
        <w:tc>
          <w:tcPr>
            <w:tcW w:w="922" w:type="dxa"/>
            <w:vMerge w:val="restart"/>
            <w:tcBorders>
              <w:top w:val="single" w:sz="4" w:space="0" w:color="000000"/>
              <w:left w:val="single" w:sz="4" w:space="0" w:color="000000"/>
              <w:right w:val="single" w:sz="4" w:space="0" w:color="000000"/>
            </w:tcBorders>
          </w:tcPr>
          <w:p w:rsidR="008C07F6" w:rsidRPr="00830058" w:rsidRDefault="00E26567">
            <w:pPr>
              <w:spacing w:after="0" w:line="236" w:lineRule="exact"/>
              <w:ind w:left="95" w:right="-20"/>
              <w:rPr>
                <w:rFonts w:ascii="Times New Roman" w:eastAsia="Times New Roman" w:hAnsi="Times New Roman" w:cs="Times New Roman"/>
                <w:sz w:val="21"/>
                <w:szCs w:val="21"/>
              </w:rPr>
            </w:pPr>
            <w:r w:rsidRPr="00830058">
              <w:rPr>
                <w:rFonts w:ascii="Times New Roman" w:hAnsi="Times New Roman" w:cs="Times New Roman"/>
                <w:w w:val="102"/>
                <w:sz w:val="21"/>
                <w:szCs w:val="21"/>
              </w:rPr>
              <w:t>Other</w:t>
            </w:r>
          </w:p>
          <w:p w:rsidR="008C07F6" w:rsidRPr="00830058" w:rsidRDefault="00E26567">
            <w:pPr>
              <w:spacing w:before="3" w:after="0" w:line="240" w:lineRule="auto"/>
              <w:ind w:left="95" w:right="-20"/>
              <w:rPr>
                <w:rFonts w:ascii="Times New Roman" w:eastAsia="Times New Roman" w:hAnsi="Times New Roman" w:cs="Times New Roman"/>
                <w:sz w:val="21"/>
                <w:szCs w:val="21"/>
              </w:rPr>
            </w:pPr>
            <w:r w:rsidRPr="00830058">
              <w:rPr>
                <w:rFonts w:ascii="Times New Roman" w:hAnsi="Times New Roman" w:cs="Times New Roman"/>
                <w:w w:val="102"/>
                <w:sz w:val="21"/>
                <w:szCs w:val="21"/>
              </w:rPr>
              <w:t>classes</w:t>
            </w:r>
          </w:p>
        </w:tc>
      </w:tr>
      <w:tr w:rsidR="008C07F6" w:rsidRPr="00830058">
        <w:trPr>
          <w:trHeight w:hRule="exact" w:val="1051"/>
        </w:trPr>
        <w:tc>
          <w:tcPr>
            <w:tcW w:w="1339" w:type="dxa"/>
            <w:tcBorders>
              <w:top w:val="single" w:sz="4" w:space="0" w:color="000000"/>
              <w:left w:val="single" w:sz="4" w:space="0" w:color="000000"/>
              <w:bottom w:val="single" w:sz="4" w:space="0" w:color="000000"/>
              <w:right w:val="single" w:sz="4" w:space="0" w:color="000000"/>
            </w:tcBorders>
          </w:tcPr>
          <w:p w:rsidR="008C07F6" w:rsidRPr="00830058" w:rsidRDefault="00E26567">
            <w:pPr>
              <w:spacing w:after="0" w:line="236" w:lineRule="exact"/>
              <w:ind w:left="100" w:right="-20"/>
              <w:rPr>
                <w:rFonts w:ascii="Times New Roman" w:eastAsia="Times New Roman" w:hAnsi="Times New Roman" w:cs="Times New Roman"/>
                <w:sz w:val="21"/>
                <w:szCs w:val="21"/>
              </w:rPr>
            </w:pPr>
            <w:r w:rsidRPr="00830058">
              <w:rPr>
                <w:rFonts w:ascii="Times New Roman" w:hAnsi="Times New Roman" w:cs="Times New Roman"/>
                <w:w w:val="102"/>
                <w:sz w:val="21"/>
                <w:szCs w:val="21"/>
              </w:rPr>
              <w:t>Lectures:</w:t>
            </w:r>
          </w:p>
          <w:p w:rsidR="008C07F6" w:rsidRPr="00830058" w:rsidRDefault="00E26567">
            <w:pPr>
              <w:spacing w:before="3" w:after="0" w:line="240" w:lineRule="auto"/>
              <w:ind w:left="100" w:right="-20"/>
              <w:rPr>
                <w:rFonts w:ascii="Times New Roman" w:eastAsia="Times New Roman" w:hAnsi="Times New Roman" w:cs="Times New Roman"/>
                <w:sz w:val="21"/>
                <w:szCs w:val="21"/>
              </w:rPr>
            </w:pPr>
            <w:r w:rsidRPr="00830058">
              <w:rPr>
                <w:rFonts w:ascii="Times New Roman" w:hAnsi="Times New Roman" w:cs="Times New Roman"/>
                <w:w w:val="102"/>
                <w:sz w:val="21"/>
                <w:szCs w:val="21"/>
              </w:rPr>
              <w:t>15x3=45</w:t>
            </w:r>
          </w:p>
        </w:tc>
        <w:tc>
          <w:tcPr>
            <w:tcW w:w="984" w:type="dxa"/>
            <w:tcBorders>
              <w:top w:val="single" w:sz="4" w:space="0" w:color="000000"/>
              <w:left w:val="single" w:sz="4" w:space="0" w:color="000000"/>
              <w:bottom w:val="single" w:sz="4" w:space="0" w:color="000000"/>
              <w:right w:val="single" w:sz="4" w:space="0" w:color="000000"/>
            </w:tcBorders>
          </w:tcPr>
          <w:p w:rsidR="008C07F6" w:rsidRPr="00830058" w:rsidRDefault="00E26567">
            <w:pPr>
              <w:spacing w:after="0" w:line="236" w:lineRule="exact"/>
              <w:ind w:left="95" w:right="-20"/>
              <w:rPr>
                <w:rFonts w:ascii="Times New Roman" w:eastAsia="Times New Roman" w:hAnsi="Times New Roman" w:cs="Times New Roman"/>
                <w:sz w:val="21"/>
                <w:szCs w:val="21"/>
              </w:rPr>
            </w:pPr>
            <w:r w:rsidRPr="00830058">
              <w:rPr>
                <w:rFonts w:ascii="Times New Roman" w:hAnsi="Times New Roman" w:cs="Times New Roman"/>
                <w:w w:val="102"/>
                <w:sz w:val="21"/>
                <w:szCs w:val="21"/>
              </w:rPr>
              <w:t>Practical work:</w:t>
            </w:r>
          </w:p>
          <w:p w:rsidR="008C07F6" w:rsidRPr="00830058" w:rsidRDefault="00E26567">
            <w:pPr>
              <w:spacing w:before="3" w:after="0" w:line="240" w:lineRule="auto"/>
              <w:ind w:left="95" w:right="-20"/>
              <w:rPr>
                <w:rFonts w:ascii="Times New Roman" w:eastAsia="Times New Roman" w:hAnsi="Times New Roman" w:cs="Times New Roman"/>
                <w:sz w:val="21"/>
                <w:szCs w:val="21"/>
              </w:rPr>
            </w:pPr>
            <w:r w:rsidRPr="00830058">
              <w:rPr>
                <w:rFonts w:ascii="Times New Roman" w:hAnsi="Times New Roman" w:cs="Times New Roman"/>
                <w:w w:val="102"/>
                <w:sz w:val="21"/>
                <w:szCs w:val="21"/>
              </w:rPr>
              <w:t>15x3=30</w:t>
            </w:r>
          </w:p>
        </w:tc>
        <w:tc>
          <w:tcPr>
            <w:tcW w:w="2453" w:type="dxa"/>
            <w:gridSpan w:val="2"/>
            <w:tcBorders>
              <w:top w:val="single" w:sz="4" w:space="0" w:color="000000"/>
              <w:left w:val="single" w:sz="4" w:space="0" w:color="000000"/>
              <w:bottom w:val="single" w:sz="4" w:space="0" w:color="000000"/>
              <w:right w:val="single" w:sz="4" w:space="0" w:color="000000"/>
            </w:tcBorders>
          </w:tcPr>
          <w:p w:rsidR="008C07F6" w:rsidRPr="00830058" w:rsidRDefault="00E26567">
            <w:pPr>
              <w:spacing w:after="0" w:line="213" w:lineRule="exact"/>
              <w:ind w:left="100" w:right="399"/>
              <w:jc w:val="both"/>
              <w:rPr>
                <w:rFonts w:ascii="Times New Roman" w:eastAsia="Times New Roman" w:hAnsi="Times New Roman" w:cs="Times New Roman"/>
                <w:sz w:val="21"/>
                <w:szCs w:val="21"/>
              </w:rPr>
            </w:pPr>
            <w:r w:rsidRPr="00830058">
              <w:rPr>
                <w:rFonts w:ascii="Times New Roman" w:hAnsi="Times New Roman" w:cs="Times New Roman"/>
                <w:sz w:val="21"/>
                <w:szCs w:val="21"/>
              </w:rPr>
              <w:t>Other forms of teaching:</w:t>
            </w:r>
          </w:p>
          <w:p w:rsidR="008C07F6" w:rsidRPr="00830058" w:rsidRDefault="00E26567">
            <w:pPr>
              <w:spacing w:before="7" w:after="0" w:line="245" w:lineRule="auto"/>
              <w:ind w:left="100" w:right="41"/>
              <w:jc w:val="both"/>
              <w:rPr>
                <w:rFonts w:ascii="Times New Roman" w:eastAsia="Times New Roman" w:hAnsi="Times New Roman" w:cs="Times New Roman"/>
                <w:sz w:val="21"/>
                <w:szCs w:val="21"/>
              </w:rPr>
            </w:pPr>
            <w:r w:rsidRPr="00830058">
              <w:rPr>
                <w:rFonts w:ascii="Times New Roman" w:hAnsi="Times New Roman" w:cs="Times New Roman"/>
                <w:sz w:val="21"/>
                <w:szCs w:val="21"/>
              </w:rPr>
              <w:t>Seminar papers and case studies included in practical works</w:t>
            </w:r>
          </w:p>
        </w:tc>
        <w:tc>
          <w:tcPr>
            <w:tcW w:w="2923" w:type="dxa"/>
            <w:gridSpan w:val="3"/>
            <w:tcBorders>
              <w:top w:val="single" w:sz="4" w:space="0" w:color="000000"/>
              <w:left w:val="single" w:sz="4" w:space="0" w:color="000000"/>
              <w:bottom w:val="single" w:sz="4" w:space="0" w:color="000000"/>
              <w:right w:val="single" w:sz="4" w:space="0" w:color="000000"/>
            </w:tcBorders>
          </w:tcPr>
          <w:p w:rsidR="008C07F6" w:rsidRPr="00830058" w:rsidRDefault="00E26567">
            <w:pPr>
              <w:spacing w:after="0" w:line="236" w:lineRule="exact"/>
              <w:ind w:left="100" w:right="-20"/>
              <w:rPr>
                <w:rFonts w:ascii="Times New Roman" w:eastAsia="Times New Roman" w:hAnsi="Times New Roman" w:cs="Times New Roman"/>
                <w:sz w:val="21"/>
                <w:szCs w:val="21"/>
              </w:rPr>
            </w:pPr>
            <w:r w:rsidRPr="00830058">
              <w:rPr>
                <w:rFonts w:ascii="Times New Roman" w:hAnsi="Times New Roman" w:cs="Times New Roman"/>
                <w:sz w:val="21"/>
                <w:szCs w:val="21"/>
              </w:rPr>
              <w:t>Studying research work:</w:t>
            </w:r>
          </w:p>
          <w:p w:rsidR="008C07F6" w:rsidRPr="00830058" w:rsidRDefault="00E26567">
            <w:pPr>
              <w:spacing w:before="3" w:after="0" w:line="240" w:lineRule="auto"/>
              <w:ind w:left="100" w:right="-20"/>
              <w:rPr>
                <w:rFonts w:ascii="Times New Roman" w:eastAsia="Times New Roman" w:hAnsi="Times New Roman" w:cs="Times New Roman"/>
                <w:sz w:val="21"/>
                <w:szCs w:val="21"/>
              </w:rPr>
            </w:pPr>
            <w:r w:rsidRPr="00830058">
              <w:rPr>
                <w:rFonts w:ascii="Times New Roman" w:hAnsi="Times New Roman" w:cs="Times New Roman"/>
                <w:sz w:val="21"/>
                <w:szCs w:val="21"/>
              </w:rPr>
              <w:t>(preparation for final work)</w:t>
            </w:r>
          </w:p>
        </w:tc>
        <w:tc>
          <w:tcPr>
            <w:tcW w:w="922" w:type="dxa"/>
            <w:vMerge/>
            <w:tcBorders>
              <w:left w:val="single" w:sz="4" w:space="0" w:color="000000"/>
              <w:bottom w:val="single" w:sz="4" w:space="0" w:color="000000"/>
              <w:right w:val="single" w:sz="4" w:space="0" w:color="000000"/>
            </w:tcBorders>
          </w:tcPr>
          <w:p w:rsidR="008C07F6" w:rsidRPr="00830058" w:rsidRDefault="008C07F6">
            <w:pPr>
              <w:rPr>
                <w:rFonts w:ascii="Times New Roman" w:hAnsi="Times New Roman" w:cs="Times New Roman"/>
                <w:sz w:val="21"/>
                <w:szCs w:val="21"/>
              </w:rPr>
            </w:pPr>
          </w:p>
        </w:tc>
      </w:tr>
      <w:tr w:rsidR="008C07F6" w:rsidRPr="00830058">
        <w:trPr>
          <w:trHeight w:hRule="exact" w:val="749"/>
        </w:trPr>
        <w:tc>
          <w:tcPr>
            <w:tcW w:w="8621" w:type="dxa"/>
            <w:gridSpan w:val="8"/>
            <w:tcBorders>
              <w:top w:val="single" w:sz="4" w:space="0" w:color="000000"/>
              <w:left w:val="single" w:sz="4" w:space="0" w:color="000000"/>
              <w:bottom w:val="single" w:sz="4" w:space="0" w:color="000000"/>
              <w:right w:val="single" w:sz="4" w:space="0" w:color="000000"/>
            </w:tcBorders>
          </w:tcPr>
          <w:p w:rsidR="008C07F6" w:rsidRPr="00830058" w:rsidRDefault="00E26567">
            <w:pPr>
              <w:spacing w:after="0" w:line="236" w:lineRule="exact"/>
              <w:ind w:left="100" w:right="-20"/>
              <w:rPr>
                <w:rFonts w:ascii="Times New Roman" w:eastAsia="Times New Roman" w:hAnsi="Times New Roman" w:cs="Times New Roman"/>
                <w:sz w:val="21"/>
                <w:szCs w:val="21"/>
              </w:rPr>
            </w:pPr>
            <w:r w:rsidRPr="00830058">
              <w:rPr>
                <w:rFonts w:ascii="Times New Roman" w:hAnsi="Times New Roman" w:cs="Times New Roman"/>
                <w:b/>
                <w:sz w:val="21"/>
                <w:szCs w:val="21"/>
              </w:rPr>
              <w:t xml:space="preserve">Methods of teaching:  </w:t>
            </w:r>
            <w:r w:rsidRPr="00830058">
              <w:rPr>
                <w:rFonts w:ascii="Times New Roman" w:hAnsi="Times New Roman" w:cs="Times New Roman"/>
                <w:sz w:val="21"/>
                <w:szCs w:val="21"/>
              </w:rPr>
              <w:t>Lectures with proofs of basic theoretical postualtes and</w:t>
            </w:r>
          </w:p>
          <w:p w:rsidR="008C07F6" w:rsidRPr="00830058" w:rsidRDefault="00E26567">
            <w:pPr>
              <w:spacing w:before="3" w:after="0" w:line="248" w:lineRule="auto"/>
              <w:ind w:left="100" w:right="39"/>
              <w:rPr>
                <w:rFonts w:ascii="Times New Roman" w:eastAsia="Times New Roman" w:hAnsi="Times New Roman" w:cs="Times New Roman"/>
                <w:sz w:val="21"/>
                <w:szCs w:val="21"/>
              </w:rPr>
            </w:pPr>
            <w:r w:rsidRPr="00830058">
              <w:rPr>
                <w:rFonts w:ascii="Times New Roman" w:hAnsi="Times New Roman" w:cs="Times New Roman"/>
                <w:sz w:val="21"/>
                <w:szCs w:val="21"/>
              </w:rPr>
              <w:t xml:space="preserve">examples for empirical analysis  Group work on study cases.  Practical work for mastering methods of analysis </w:t>
            </w:r>
            <w:r w:rsidRPr="00830058">
              <w:rPr>
                <w:rFonts w:ascii="Times New Roman" w:hAnsi="Times New Roman" w:cs="Times New Roman"/>
                <w:sz w:val="21"/>
                <w:szCs w:val="21"/>
              </w:rPr>
              <w:t>Seminar papers and  presentations.</w:t>
            </w:r>
          </w:p>
        </w:tc>
      </w:tr>
      <w:tr w:rsidR="008C07F6" w:rsidRPr="00830058">
        <w:trPr>
          <w:trHeight w:hRule="exact" w:val="254"/>
        </w:trPr>
        <w:tc>
          <w:tcPr>
            <w:tcW w:w="8621" w:type="dxa"/>
            <w:gridSpan w:val="8"/>
            <w:tcBorders>
              <w:top w:val="single" w:sz="4" w:space="0" w:color="000000"/>
              <w:left w:val="single" w:sz="4" w:space="0" w:color="000000"/>
              <w:bottom w:val="single" w:sz="4" w:space="0" w:color="000000"/>
              <w:right w:val="single" w:sz="4" w:space="0" w:color="000000"/>
            </w:tcBorders>
          </w:tcPr>
          <w:p w:rsidR="008C07F6" w:rsidRPr="00830058" w:rsidRDefault="00E26567">
            <w:pPr>
              <w:spacing w:after="0" w:line="241" w:lineRule="exact"/>
              <w:ind w:left="2221" w:right="-20"/>
              <w:rPr>
                <w:rFonts w:ascii="Times New Roman" w:eastAsia="Times New Roman" w:hAnsi="Times New Roman" w:cs="Times New Roman"/>
                <w:sz w:val="21"/>
                <w:szCs w:val="21"/>
              </w:rPr>
            </w:pPr>
            <w:r w:rsidRPr="00830058">
              <w:rPr>
                <w:rFonts w:ascii="Times New Roman" w:hAnsi="Times New Roman" w:cs="Times New Roman"/>
                <w:b/>
                <w:sz w:val="21"/>
                <w:szCs w:val="21"/>
              </w:rPr>
              <w:t>Grading (maximum number of points 100)</w:t>
            </w:r>
          </w:p>
        </w:tc>
      </w:tr>
      <w:tr w:rsidR="008C07F6" w:rsidRPr="00830058">
        <w:trPr>
          <w:trHeight w:hRule="exact" w:val="259"/>
        </w:trPr>
        <w:tc>
          <w:tcPr>
            <w:tcW w:w="3547" w:type="dxa"/>
            <w:gridSpan w:val="3"/>
            <w:tcBorders>
              <w:top w:val="single" w:sz="4" w:space="0" w:color="000000"/>
              <w:left w:val="single" w:sz="4" w:space="0" w:color="000000"/>
              <w:bottom w:val="single" w:sz="4" w:space="0" w:color="000000"/>
              <w:right w:val="single" w:sz="4" w:space="0" w:color="000000"/>
            </w:tcBorders>
          </w:tcPr>
          <w:p w:rsidR="008C07F6" w:rsidRPr="00830058" w:rsidRDefault="00E26567">
            <w:pPr>
              <w:spacing w:after="0" w:line="241" w:lineRule="exact"/>
              <w:ind w:left="100" w:right="-20"/>
              <w:rPr>
                <w:rFonts w:ascii="Times New Roman" w:eastAsia="Times New Roman" w:hAnsi="Times New Roman" w:cs="Times New Roman"/>
                <w:sz w:val="21"/>
                <w:szCs w:val="21"/>
              </w:rPr>
            </w:pPr>
            <w:r w:rsidRPr="00830058">
              <w:rPr>
                <w:rFonts w:ascii="Times New Roman" w:hAnsi="Times New Roman" w:cs="Times New Roman"/>
                <w:b/>
                <w:sz w:val="21"/>
                <w:szCs w:val="21"/>
              </w:rPr>
              <w:t>Pre-exam assignments</w:t>
            </w:r>
          </w:p>
        </w:tc>
        <w:tc>
          <w:tcPr>
            <w:tcW w:w="1478" w:type="dxa"/>
            <w:gridSpan w:val="2"/>
            <w:tcBorders>
              <w:top w:val="single" w:sz="4" w:space="0" w:color="000000"/>
              <w:left w:val="single" w:sz="4" w:space="0" w:color="000000"/>
              <w:bottom w:val="single" w:sz="4" w:space="0" w:color="000000"/>
              <w:right w:val="single" w:sz="4" w:space="0" w:color="000000"/>
            </w:tcBorders>
          </w:tcPr>
          <w:p w:rsidR="008C07F6" w:rsidRPr="00830058" w:rsidRDefault="00E26567">
            <w:pPr>
              <w:spacing w:after="0" w:line="241" w:lineRule="exact"/>
              <w:ind w:left="100" w:right="-20"/>
              <w:rPr>
                <w:rFonts w:ascii="Times New Roman" w:eastAsia="Times New Roman" w:hAnsi="Times New Roman" w:cs="Times New Roman"/>
                <w:sz w:val="21"/>
                <w:szCs w:val="21"/>
              </w:rPr>
            </w:pPr>
            <w:r w:rsidRPr="00830058">
              <w:rPr>
                <w:rFonts w:ascii="Times New Roman" w:hAnsi="Times New Roman" w:cs="Times New Roman"/>
                <w:b/>
                <w:w w:val="102"/>
                <w:sz w:val="21"/>
                <w:szCs w:val="21"/>
              </w:rPr>
              <w:t>points</w:t>
            </w:r>
          </w:p>
        </w:tc>
        <w:tc>
          <w:tcPr>
            <w:tcW w:w="2554" w:type="dxa"/>
            <w:tcBorders>
              <w:top w:val="single" w:sz="4" w:space="0" w:color="000000"/>
              <w:left w:val="single" w:sz="4" w:space="0" w:color="000000"/>
              <w:bottom w:val="single" w:sz="4" w:space="0" w:color="000000"/>
              <w:right w:val="single" w:sz="4" w:space="0" w:color="000000"/>
            </w:tcBorders>
          </w:tcPr>
          <w:p w:rsidR="008C07F6" w:rsidRPr="00830058" w:rsidRDefault="00E26567">
            <w:pPr>
              <w:spacing w:after="0" w:line="236" w:lineRule="exact"/>
              <w:ind w:left="95" w:right="-20"/>
              <w:rPr>
                <w:rFonts w:ascii="Times New Roman" w:eastAsia="Times New Roman" w:hAnsi="Times New Roman" w:cs="Times New Roman"/>
                <w:sz w:val="21"/>
                <w:szCs w:val="21"/>
              </w:rPr>
            </w:pPr>
            <w:r w:rsidRPr="00830058">
              <w:rPr>
                <w:rFonts w:ascii="Times New Roman" w:hAnsi="Times New Roman" w:cs="Times New Roman"/>
                <w:sz w:val="21"/>
                <w:szCs w:val="21"/>
              </w:rPr>
              <w:t>Final exam</w:t>
            </w:r>
          </w:p>
        </w:tc>
        <w:tc>
          <w:tcPr>
            <w:tcW w:w="1042" w:type="dxa"/>
            <w:gridSpan w:val="2"/>
            <w:tcBorders>
              <w:top w:val="single" w:sz="4" w:space="0" w:color="000000"/>
              <w:left w:val="single" w:sz="4" w:space="0" w:color="000000"/>
              <w:bottom w:val="single" w:sz="4" w:space="0" w:color="000000"/>
              <w:right w:val="single" w:sz="4" w:space="0" w:color="000000"/>
            </w:tcBorders>
          </w:tcPr>
          <w:p w:rsidR="008C07F6" w:rsidRPr="00830058" w:rsidRDefault="00E26567">
            <w:pPr>
              <w:spacing w:after="0" w:line="236" w:lineRule="exact"/>
              <w:ind w:left="105" w:right="-20"/>
              <w:rPr>
                <w:rFonts w:ascii="Times New Roman" w:eastAsia="Times New Roman" w:hAnsi="Times New Roman" w:cs="Times New Roman"/>
                <w:sz w:val="21"/>
                <w:szCs w:val="21"/>
              </w:rPr>
            </w:pPr>
            <w:r w:rsidRPr="00830058">
              <w:rPr>
                <w:rFonts w:ascii="Times New Roman" w:hAnsi="Times New Roman" w:cs="Times New Roman"/>
                <w:i/>
                <w:w w:val="102"/>
                <w:sz w:val="21"/>
                <w:szCs w:val="21"/>
              </w:rPr>
              <w:t>points</w:t>
            </w:r>
          </w:p>
        </w:tc>
      </w:tr>
      <w:tr w:rsidR="008C07F6" w:rsidRPr="00830058">
        <w:trPr>
          <w:trHeight w:hRule="exact" w:val="254"/>
        </w:trPr>
        <w:tc>
          <w:tcPr>
            <w:tcW w:w="3547" w:type="dxa"/>
            <w:gridSpan w:val="3"/>
            <w:tcBorders>
              <w:top w:val="single" w:sz="4" w:space="0" w:color="000000"/>
              <w:left w:val="single" w:sz="4" w:space="0" w:color="000000"/>
              <w:bottom w:val="single" w:sz="4" w:space="0" w:color="000000"/>
              <w:right w:val="single" w:sz="4" w:space="0" w:color="000000"/>
            </w:tcBorders>
          </w:tcPr>
          <w:p w:rsidR="008C07F6" w:rsidRPr="00830058" w:rsidRDefault="00E26567">
            <w:pPr>
              <w:spacing w:after="0" w:line="236" w:lineRule="exact"/>
              <w:ind w:left="100" w:right="-20"/>
              <w:rPr>
                <w:rFonts w:ascii="Times New Roman" w:eastAsia="Times New Roman" w:hAnsi="Times New Roman" w:cs="Times New Roman"/>
                <w:sz w:val="21"/>
                <w:szCs w:val="21"/>
              </w:rPr>
            </w:pPr>
            <w:r w:rsidRPr="00830058">
              <w:rPr>
                <w:rFonts w:ascii="Times New Roman" w:hAnsi="Times New Roman" w:cs="Times New Roman"/>
                <w:sz w:val="21"/>
                <w:szCs w:val="21"/>
              </w:rPr>
              <w:t>activities during lectures</w:t>
            </w:r>
          </w:p>
        </w:tc>
        <w:tc>
          <w:tcPr>
            <w:tcW w:w="1478" w:type="dxa"/>
            <w:gridSpan w:val="2"/>
            <w:tcBorders>
              <w:top w:val="single" w:sz="4" w:space="0" w:color="000000"/>
              <w:left w:val="single" w:sz="4" w:space="0" w:color="000000"/>
              <w:bottom w:val="single" w:sz="4" w:space="0" w:color="000000"/>
              <w:right w:val="single" w:sz="4" w:space="0" w:color="000000"/>
            </w:tcBorders>
          </w:tcPr>
          <w:p w:rsidR="008C07F6" w:rsidRPr="00830058" w:rsidRDefault="00E26567">
            <w:pPr>
              <w:spacing w:after="0" w:line="236" w:lineRule="exact"/>
              <w:ind w:left="469" w:right="-20"/>
              <w:rPr>
                <w:rFonts w:ascii="Times New Roman" w:eastAsia="Times New Roman" w:hAnsi="Times New Roman" w:cs="Times New Roman"/>
                <w:sz w:val="21"/>
                <w:szCs w:val="21"/>
              </w:rPr>
            </w:pPr>
            <w:r w:rsidRPr="00830058">
              <w:rPr>
                <w:rFonts w:ascii="Times New Roman" w:hAnsi="Times New Roman" w:cs="Times New Roman"/>
                <w:w w:val="102"/>
                <w:sz w:val="21"/>
                <w:szCs w:val="21"/>
              </w:rPr>
              <w:t>15</w:t>
            </w:r>
          </w:p>
        </w:tc>
        <w:tc>
          <w:tcPr>
            <w:tcW w:w="2554" w:type="dxa"/>
            <w:tcBorders>
              <w:top w:val="single" w:sz="4" w:space="0" w:color="000000"/>
              <w:left w:val="single" w:sz="4" w:space="0" w:color="000000"/>
              <w:bottom w:val="single" w:sz="4" w:space="0" w:color="000000"/>
              <w:right w:val="single" w:sz="4" w:space="0" w:color="000000"/>
            </w:tcBorders>
          </w:tcPr>
          <w:p w:rsidR="008C07F6" w:rsidRPr="00830058" w:rsidRDefault="00E26567">
            <w:pPr>
              <w:spacing w:after="0" w:line="236" w:lineRule="exact"/>
              <w:ind w:left="95" w:right="-20"/>
              <w:rPr>
                <w:rFonts w:ascii="Times New Roman" w:eastAsia="Times New Roman" w:hAnsi="Times New Roman" w:cs="Times New Roman"/>
                <w:sz w:val="21"/>
                <w:szCs w:val="21"/>
              </w:rPr>
            </w:pPr>
            <w:r w:rsidRPr="00830058">
              <w:rPr>
                <w:rFonts w:ascii="Times New Roman" w:hAnsi="Times New Roman" w:cs="Times New Roman"/>
                <w:sz w:val="21"/>
                <w:szCs w:val="21"/>
              </w:rPr>
              <w:t>written exam</w:t>
            </w:r>
          </w:p>
        </w:tc>
        <w:tc>
          <w:tcPr>
            <w:tcW w:w="1042" w:type="dxa"/>
            <w:gridSpan w:val="2"/>
            <w:tcBorders>
              <w:top w:val="single" w:sz="4" w:space="0" w:color="000000"/>
              <w:left w:val="single" w:sz="4" w:space="0" w:color="000000"/>
              <w:bottom w:val="single" w:sz="4" w:space="0" w:color="000000"/>
              <w:right w:val="single" w:sz="4" w:space="0" w:color="000000"/>
            </w:tcBorders>
          </w:tcPr>
          <w:p w:rsidR="008C07F6" w:rsidRPr="00830058" w:rsidRDefault="008C07F6">
            <w:pPr>
              <w:rPr>
                <w:rFonts w:ascii="Times New Roman" w:hAnsi="Times New Roman" w:cs="Times New Roman"/>
                <w:sz w:val="21"/>
                <w:szCs w:val="21"/>
              </w:rPr>
            </w:pPr>
          </w:p>
        </w:tc>
      </w:tr>
      <w:tr w:rsidR="008C07F6" w:rsidRPr="00830058">
        <w:trPr>
          <w:trHeight w:hRule="exact" w:val="259"/>
        </w:trPr>
        <w:tc>
          <w:tcPr>
            <w:tcW w:w="3547" w:type="dxa"/>
            <w:gridSpan w:val="3"/>
            <w:tcBorders>
              <w:top w:val="single" w:sz="4" w:space="0" w:color="000000"/>
              <w:left w:val="single" w:sz="4" w:space="0" w:color="000000"/>
              <w:bottom w:val="single" w:sz="4" w:space="0" w:color="000000"/>
              <w:right w:val="single" w:sz="4" w:space="0" w:color="000000"/>
            </w:tcBorders>
          </w:tcPr>
          <w:p w:rsidR="008C07F6" w:rsidRPr="00830058" w:rsidRDefault="00E26567">
            <w:pPr>
              <w:spacing w:after="0" w:line="236" w:lineRule="exact"/>
              <w:ind w:left="100" w:right="-20"/>
              <w:rPr>
                <w:rFonts w:ascii="Times New Roman" w:eastAsia="Times New Roman" w:hAnsi="Times New Roman" w:cs="Times New Roman"/>
                <w:sz w:val="21"/>
                <w:szCs w:val="21"/>
              </w:rPr>
            </w:pPr>
            <w:r w:rsidRPr="00830058">
              <w:rPr>
                <w:rFonts w:ascii="Times New Roman" w:hAnsi="Times New Roman" w:cs="Times New Roman"/>
                <w:sz w:val="21"/>
                <w:szCs w:val="21"/>
              </w:rPr>
              <w:t>practical work</w:t>
            </w:r>
          </w:p>
        </w:tc>
        <w:tc>
          <w:tcPr>
            <w:tcW w:w="1478" w:type="dxa"/>
            <w:gridSpan w:val="2"/>
            <w:tcBorders>
              <w:top w:val="single" w:sz="4" w:space="0" w:color="000000"/>
              <w:left w:val="single" w:sz="4" w:space="0" w:color="000000"/>
              <w:bottom w:val="single" w:sz="4" w:space="0" w:color="000000"/>
              <w:right w:val="single" w:sz="4" w:space="0" w:color="000000"/>
            </w:tcBorders>
          </w:tcPr>
          <w:p w:rsidR="008C07F6" w:rsidRPr="00830058" w:rsidRDefault="00E26567">
            <w:pPr>
              <w:spacing w:after="0" w:line="236" w:lineRule="exact"/>
              <w:ind w:left="469" w:right="-20"/>
              <w:rPr>
                <w:rFonts w:ascii="Times New Roman" w:eastAsia="Times New Roman" w:hAnsi="Times New Roman" w:cs="Times New Roman"/>
                <w:sz w:val="21"/>
                <w:szCs w:val="21"/>
              </w:rPr>
            </w:pPr>
            <w:r w:rsidRPr="00830058">
              <w:rPr>
                <w:rFonts w:ascii="Times New Roman" w:hAnsi="Times New Roman" w:cs="Times New Roman"/>
                <w:w w:val="102"/>
                <w:sz w:val="21"/>
                <w:szCs w:val="21"/>
              </w:rPr>
              <w:t>15</w:t>
            </w:r>
          </w:p>
        </w:tc>
        <w:tc>
          <w:tcPr>
            <w:tcW w:w="2554" w:type="dxa"/>
            <w:tcBorders>
              <w:top w:val="single" w:sz="4" w:space="0" w:color="000000"/>
              <w:left w:val="single" w:sz="4" w:space="0" w:color="000000"/>
              <w:bottom w:val="single" w:sz="4" w:space="0" w:color="000000"/>
              <w:right w:val="single" w:sz="4" w:space="0" w:color="000000"/>
            </w:tcBorders>
          </w:tcPr>
          <w:p w:rsidR="008C07F6" w:rsidRPr="00830058" w:rsidRDefault="00E26567">
            <w:pPr>
              <w:spacing w:after="0" w:line="236" w:lineRule="exact"/>
              <w:ind w:left="95" w:right="-20"/>
              <w:rPr>
                <w:rFonts w:ascii="Times New Roman" w:eastAsia="Times New Roman" w:hAnsi="Times New Roman" w:cs="Times New Roman"/>
                <w:sz w:val="21"/>
                <w:szCs w:val="21"/>
              </w:rPr>
            </w:pPr>
            <w:r w:rsidRPr="00830058">
              <w:rPr>
                <w:rFonts w:ascii="Times New Roman" w:hAnsi="Times New Roman" w:cs="Times New Roman"/>
                <w:sz w:val="21"/>
                <w:szCs w:val="21"/>
              </w:rPr>
              <w:t>oral exam</w:t>
            </w:r>
          </w:p>
        </w:tc>
        <w:tc>
          <w:tcPr>
            <w:tcW w:w="1042" w:type="dxa"/>
            <w:gridSpan w:val="2"/>
            <w:tcBorders>
              <w:top w:val="single" w:sz="4" w:space="0" w:color="000000"/>
              <w:left w:val="single" w:sz="4" w:space="0" w:color="000000"/>
              <w:bottom w:val="single" w:sz="4" w:space="0" w:color="000000"/>
              <w:right w:val="single" w:sz="4" w:space="0" w:color="000000"/>
            </w:tcBorders>
          </w:tcPr>
          <w:p w:rsidR="008C07F6" w:rsidRPr="00830058" w:rsidRDefault="00E26567">
            <w:pPr>
              <w:spacing w:after="0" w:line="236" w:lineRule="exact"/>
              <w:ind w:left="205" w:right="-20"/>
              <w:rPr>
                <w:rFonts w:ascii="Times New Roman" w:eastAsia="Times New Roman" w:hAnsi="Times New Roman" w:cs="Times New Roman"/>
                <w:sz w:val="21"/>
                <w:szCs w:val="21"/>
              </w:rPr>
            </w:pPr>
            <w:r w:rsidRPr="00830058">
              <w:rPr>
                <w:rFonts w:ascii="Times New Roman" w:hAnsi="Times New Roman" w:cs="Times New Roman"/>
                <w:w w:val="102"/>
                <w:sz w:val="21"/>
                <w:szCs w:val="21"/>
              </w:rPr>
              <w:t>55</w:t>
            </w:r>
          </w:p>
        </w:tc>
      </w:tr>
      <w:tr w:rsidR="008C07F6" w:rsidRPr="00830058">
        <w:trPr>
          <w:trHeight w:hRule="exact" w:val="250"/>
        </w:trPr>
        <w:tc>
          <w:tcPr>
            <w:tcW w:w="3547" w:type="dxa"/>
            <w:gridSpan w:val="3"/>
            <w:tcBorders>
              <w:top w:val="single" w:sz="4" w:space="0" w:color="000000"/>
              <w:left w:val="single" w:sz="4" w:space="0" w:color="000000"/>
              <w:bottom w:val="single" w:sz="4" w:space="0" w:color="000000"/>
              <w:right w:val="single" w:sz="4" w:space="0" w:color="000000"/>
            </w:tcBorders>
          </w:tcPr>
          <w:p w:rsidR="008C07F6" w:rsidRPr="00830058" w:rsidRDefault="00E26567">
            <w:pPr>
              <w:spacing w:after="0" w:line="236" w:lineRule="exact"/>
              <w:ind w:left="100" w:right="-20"/>
              <w:rPr>
                <w:rFonts w:ascii="Times New Roman" w:eastAsia="Times New Roman" w:hAnsi="Times New Roman" w:cs="Times New Roman"/>
                <w:sz w:val="21"/>
                <w:szCs w:val="21"/>
              </w:rPr>
            </w:pPr>
            <w:r w:rsidRPr="00830058">
              <w:rPr>
                <w:rFonts w:ascii="Times New Roman" w:hAnsi="Times New Roman" w:cs="Times New Roman"/>
                <w:w w:val="102"/>
                <w:sz w:val="21"/>
                <w:szCs w:val="21"/>
              </w:rPr>
              <w:t>Seminar paper(s)</w:t>
            </w:r>
          </w:p>
        </w:tc>
        <w:tc>
          <w:tcPr>
            <w:tcW w:w="1478" w:type="dxa"/>
            <w:gridSpan w:val="2"/>
            <w:tcBorders>
              <w:top w:val="single" w:sz="4" w:space="0" w:color="000000"/>
              <w:left w:val="single" w:sz="4" w:space="0" w:color="000000"/>
              <w:bottom w:val="single" w:sz="4" w:space="0" w:color="000000"/>
              <w:right w:val="single" w:sz="4" w:space="0" w:color="000000"/>
            </w:tcBorders>
          </w:tcPr>
          <w:p w:rsidR="008C07F6" w:rsidRPr="00830058" w:rsidRDefault="00E26567">
            <w:pPr>
              <w:spacing w:after="0" w:line="236" w:lineRule="exact"/>
              <w:ind w:left="469" w:right="-20"/>
              <w:rPr>
                <w:rFonts w:ascii="Times New Roman" w:eastAsia="Times New Roman" w:hAnsi="Times New Roman" w:cs="Times New Roman"/>
                <w:sz w:val="21"/>
                <w:szCs w:val="21"/>
              </w:rPr>
            </w:pPr>
            <w:r w:rsidRPr="00830058">
              <w:rPr>
                <w:rFonts w:ascii="Times New Roman" w:hAnsi="Times New Roman" w:cs="Times New Roman"/>
                <w:w w:val="102"/>
                <w:sz w:val="21"/>
                <w:szCs w:val="21"/>
              </w:rPr>
              <w:t>15</w:t>
            </w:r>
          </w:p>
        </w:tc>
        <w:tc>
          <w:tcPr>
            <w:tcW w:w="2554" w:type="dxa"/>
            <w:tcBorders>
              <w:top w:val="single" w:sz="4" w:space="0" w:color="000000"/>
              <w:left w:val="single" w:sz="4" w:space="0" w:color="000000"/>
              <w:bottom w:val="single" w:sz="4" w:space="0" w:color="000000"/>
              <w:right w:val="single" w:sz="4" w:space="0" w:color="000000"/>
            </w:tcBorders>
          </w:tcPr>
          <w:p w:rsidR="008C07F6" w:rsidRPr="00830058" w:rsidRDefault="008C07F6">
            <w:pPr>
              <w:rPr>
                <w:rFonts w:ascii="Times New Roman" w:hAnsi="Times New Roman" w:cs="Times New Roman"/>
                <w:sz w:val="21"/>
                <w:szCs w:val="21"/>
              </w:rPr>
            </w:pPr>
          </w:p>
        </w:tc>
        <w:tc>
          <w:tcPr>
            <w:tcW w:w="1042" w:type="dxa"/>
            <w:gridSpan w:val="2"/>
            <w:tcBorders>
              <w:top w:val="single" w:sz="4" w:space="0" w:color="000000"/>
              <w:left w:val="single" w:sz="4" w:space="0" w:color="000000"/>
              <w:bottom w:val="single" w:sz="4" w:space="0" w:color="000000"/>
              <w:right w:val="single" w:sz="4" w:space="0" w:color="000000"/>
            </w:tcBorders>
          </w:tcPr>
          <w:p w:rsidR="008C07F6" w:rsidRPr="00830058" w:rsidRDefault="008C07F6">
            <w:pPr>
              <w:rPr>
                <w:rFonts w:ascii="Times New Roman" w:hAnsi="Times New Roman" w:cs="Times New Roman"/>
                <w:sz w:val="21"/>
                <w:szCs w:val="21"/>
              </w:rPr>
            </w:pPr>
          </w:p>
        </w:tc>
      </w:tr>
    </w:tbl>
    <w:p w:rsidR="00E26567" w:rsidRPr="00830058" w:rsidRDefault="00E26567">
      <w:pPr>
        <w:rPr>
          <w:rFonts w:ascii="Times New Roman" w:hAnsi="Times New Roman" w:cs="Times New Roman"/>
          <w:sz w:val="21"/>
          <w:szCs w:val="21"/>
        </w:rPr>
      </w:pPr>
    </w:p>
    <w:sectPr w:rsidR="00E26567" w:rsidRPr="00830058" w:rsidSect="008C07F6">
      <w:type w:val="continuous"/>
      <w:pgSz w:w="11900" w:h="16840"/>
      <w:pgMar w:top="1580" w:right="1520" w:bottom="280" w:left="1540"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compat>
    <w:ulTrailSpace/>
  </w:compat>
  <w:rsids>
    <w:rsidRoot w:val="008C07F6"/>
    <w:rsid w:val="00830058"/>
    <w:rsid w:val="008C07F6"/>
    <w:rsid w:val="00E2656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484</Words>
  <Characters>2664</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Natasa</cp:lastModifiedBy>
  <cp:revision>2</cp:revision>
  <dcterms:created xsi:type="dcterms:W3CDTF">2016-04-26T13:56:00Z</dcterms:created>
  <dcterms:modified xsi:type="dcterms:W3CDTF">2016-04-26T13:14:00Z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2016-04-20T00:00:00Z</vt:filetime>
  </property>
  <property fmtid="{D5CDD505-2E9C-101B-9397-08002B2CF9AE}" pid="3" name="LastSaved">
    <vt:filetime>2016-04-26T00:00:00Z</vt:filetime>
  </property>
</Properties>
</file>